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A66" w:rsidRDefault="00006A66" w:rsidP="00006A66">
      <w:pPr>
        <w:ind w:firstLine="6480"/>
      </w:pPr>
      <w:r>
        <w:t xml:space="preserve">Supplement No. </w:t>
      </w:r>
      <w:r w:rsidR="00975BE6">
        <w:t>40</w:t>
      </w:r>
    </w:p>
    <w:p w:rsidR="00006A66" w:rsidRDefault="00006A66" w:rsidP="00006A66">
      <w:pPr>
        <w:ind w:firstLine="6480"/>
      </w:pPr>
      <w:r>
        <w:t xml:space="preserve">Electric </w:t>
      </w:r>
      <w:smartTag w:uri="urn:schemas-microsoft-com:office:smarttags" w:element="place">
        <w:smartTag w:uri="urn:schemas-microsoft-com:office:smarttags" w:element="State">
          <w:r>
            <w:t>Pa.</w:t>
          </w:r>
        </w:smartTag>
      </w:smartTag>
      <w:r>
        <w:t xml:space="preserve"> P.U.C. No. </w:t>
      </w:r>
      <w:r w:rsidR="002C681E">
        <w:t>8</w:t>
      </w:r>
      <w:r w:rsidR="0028307B">
        <w:t>1</w:t>
      </w:r>
    </w:p>
    <w:p w:rsidR="00006A66" w:rsidRDefault="00006A66" w:rsidP="00006A66">
      <w:pPr>
        <w:ind w:firstLine="6480"/>
      </w:pPr>
    </w:p>
    <w:p w:rsidR="00006A66" w:rsidRDefault="00006A66" w:rsidP="00006A66"/>
    <w:p w:rsidR="00006A66" w:rsidRDefault="00006A66" w:rsidP="00006A66"/>
    <w:p w:rsidR="00006A66" w:rsidRDefault="00006A66" w:rsidP="00006A66"/>
    <w:p w:rsidR="00006A66" w:rsidRDefault="00006A66" w:rsidP="00006A66"/>
    <w:p w:rsidR="00006A66" w:rsidRDefault="00006A66" w:rsidP="00006A66">
      <w:pPr>
        <w:jc w:val="center"/>
        <w:rPr>
          <w:b/>
        </w:rPr>
      </w:pPr>
      <w:r>
        <w:rPr>
          <w:b/>
        </w:rPr>
        <w:t>PENNSYLVANIA ELECTRIC COMPANY</w:t>
      </w:r>
    </w:p>
    <w:p w:rsidR="00006A66" w:rsidRDefault="00006A66" w:rsidP="00006A66">
      <w:pPr>
        <w:jc w:val="center"/>
        <w:rPr>
          <w:b/>
        </w:rPr>
      </w:pPr>
    </w:p>
    <w:p w:rsidR="00006A66" w:rsidRDefault="00006A66" w:rsidP="00006A66">
      <w:pPr>
        <w:jc w:val="center"/>
        <w:rPr>
          <w:b/>
        </w:rPr>
      </w:pPr>
      <w:smartTag w:uri="urn:schemas-microsoft-com:office:smarttags" w:element="place">
        <w:smartTag w:uri="urn:schemas-microsoft-com:office:smarttags" w:element="City">
          <w:r>
            <w:rPr>
              <w:b/>
            </w:rPr>
            <w:t>READING</w:t>
          </w:r>
        </w:smartTag>
        <w:r>
          <w:rPr>
            <w:b/>
          </w:rPr>
          <w:t xml:space="preserve">, </w:t>
        </w:r>
        <w:smartTag w:uri="urn:schemas-microsoft-com:office:smarttags" w:element="State">
          <w:r>
            <w:rPr>
              <w:b/>
            </w:rPr>
            <w:t>PENNSYLVANIA</w:t>
          </w:r>
        </w:smartTag>
      </w:smartTag>
    </w:p>
    <w:p w:rsidR="00006A66" w:rsidRDefault="00006A66" w:rsidP="00006A66">
      <w:pPr>
        <w:jc w:val="center"/>
        <w:rPr>
          <w:b/>
        </w:rPr>
      </w:pPr>
    </w:p>
    <w:p w:rsidR="00006A66" w:rsidRDefault="00006A66" w:rsidP="00006A66">
      <w:pPr>
        <w:jc w:val="center"/>
        <w:rPr>
          <w:b/>
        </w:rPr>
      </w:pPr>
      <w:r>
        <w:rPr>
          <w:b/>
        </w:rPr>
        <w:t>__________________________________________</w:t>
      </w:r>
    </w:p>
    <w:p w:rsidR="00006A66" w:rsidRDefault="00006A66" w:rsidP="00006A66">
      <w:pPr>
        <w:jc w:val="center"/>
        <w:rPr>
          <w:b/>
        </w:rPr>
      </w:pPr>
    </w:p>
    <w:p w:rsidR="00006A66" w:rsidRDefault="00006A66" w:rsidP="00006A66">
      <w:pPr>
        <w:jc w:val="center"/>
        <w:rPr>
          <w:b/>
        </w:rPr>
      </w:pPr>
    </w:p>
    <w:p w:rsidR="00006A66" w:rsidRDefault="00006A66" w:rsidP="00006A66">
      <w:pPr>
        <w:jc w:val="center"/>
        <w:rPr>
          <w:b/>
        </w:rPr>
      </w:pPr>
      <w:r>
        <w:rPr>
          <w:b/>
        </w:rPr>
        <w:t>Electric Service Tariff</w:t>
      </w:r>
    </w:p>
    <w:p w:rsidR="00006A66" w:rsidRDefault="00006A66" w:rsidP="00006A66">
      <w:pPr>
        <w:jc w:val="center"/>
        <w:rPr>
          <w:b/>
        </w:rPr>
      </w:pPr>
    </w:p>
    <w:p w:rsidR="00006A66" w:rsidRDefault="00006A66" w:rsidP="00006A66">
      <w:pPr>
        <w:jc w:val="center"/>
        <w:rPr>
          <w:b/>
        </w:rPr>
      </w:pPr>
      <w:r>
        <w:rPr>
          <w:b/>
        </w:rPr>
        <w:t>Effective in</w:t>
      </w:r>
    </w:p>
    <w:p w:rsidR="00006A66" w:rsidRDefault="00006A66" w:rsidP="00006A66">
      <w:pPr>
        <w:jc w:val="center"/>
        <w:rPr>
          <w:b/>
        </w:rPr>
      </w:pPr>
    </w:p>
    <w:p w:rsidR="00006A66" w:rsidRDefault="00006A66" w:rsidP="00006A66">
      <w:pPr>
        <w:jc w:val="center"/>
        <w:rPr>
          <w:b/>
        </w:rPr>
      </w:pPr>
      <w:r>
        <w:rPr>
          <w:b/>
        </w:rPr>
        <w:t>The Territory as Defined on</w:t>
      </w:r>
    </w:p>
    <w:p w:rsidR="00006A66" w:rsidRDefault="00006A66" w:rsidP="00006A66">
      <w:pPr>
        <w:jc w:val="center"/>
        <w:rPr>
          <w:b/>
        </w:rPr>
      </w:pPr>
      <w:r>
        <w:rPr>
          <w:b/>
        </w:rPr>
        <w:t xml:space="preserve">Page Nos. </w:t>
      </w:r>
      <w:r w:rsidR="00BB7B2D">
        <w:rPr>
          <w:b/>
        </w:rPr>
        <w:t xml:space="preserve">8 </w:t>
      </w:r>
      <w:r>
        <w:rPr>
          <w:b/>
        </w:rPr>
        <w:t>- 1</w:t>
      </w:r>
      <w:r w:rsidR="00BB7B2D">
        <w:rPr>
          <w:b/>
        </w:rPr>
        <w:t>5</w:t>
      </w:r>
      <w:r>
        <w:rPr>
          <w:b/>
        </w:rPr>
        <w:t xml:space="preserve"> of this Tariff</w:t>
      </w:r>
    </w:p>
    <w:p w:rsidR="00006A66" w:rsidRDefault="00006A66" w:rsidP="00006A66">
      <w:pPr>
        <w:jc w:val="center"/>
        <w:rPr>
          <w:b/>
        </w:rPr>
      </w:pPr>
    </w:p>
    <w:p w:rsidR="00006A66" w:rsidRDefault="00006A66" w:rsidP="00006A66">
      <w:pPr>
        <w:jc w:val="center"/>
        <w:rPr>
          <w:b/>
        </w:rPr>
      </w:pPr>
    </w:p>
    <w:p w:rsidR="00006A66" w:rsidRDefault="00006A66" w:rsidP="00006A66">
      <w:pPr>
        <w:jc w:val="center"/>
        <w:rPr>
          <w:b/>
        </w:rPr>
      </w:pPr>
    </w:p>
    <w:p w:rsidR="00006A66" w:rsidRDefault="00006A66" w:rsidP="00006A66">
      <w:pPr>
        <w:jc w:val="center"/>
        <w:rPr>
          <w:b/>
        </w:rPr>
      </w:pPr>
    </w:p>
    <w:p w:rsidR="00006A66" w:rsidRDefault="00006A66" w:rsidP="00006A66">
      <w:pPr>
        <w:jc w:val="center"/>
        <w:rPr>
          <w:b/>
        </w:rPr>
      </w:pPr>
    </w:p>
    <w:p w:rsidR="00006A66" w:rsidRDefault="00006A66" w:rsidP="00006A66">
      <w:pPr>
        <w:jc w:val="center"/>
        <w:rPr>
          <w:b/>
        </w:rPr>
      </w:pPr>
    </w:p>
    <w:p w:rsidR="00006A66" w:rsidRDefault="00006A66" w:rsidP="00006A66">
      <w:pPr>
        <w:jc w:val="center"/>
        <w:rPr>
          <w:b/>
        </w:rPr>
      </w:pPr>
    </w:p>
    <w:p w:rsidR="00006A66" w:rsidRDefault="00006A66" w:rsidP="00006A66">
      <w:pPr>
        <w:jc w:val="center"/>
        <w:rPr>
          <w:b/>
        </w:rPr>
      </w:pPr>
    </w:p>
    <w:p w:rsidR="00006A66" w:rsidRDefault="00006A66" w:rsidP="00006A66">
      <w:pPr>
        <w:jc w:val="center"/>
        <w:rPr>
          <w:b/>
        </w:rPr>
      </w:pPr>
    </w:p>
    <w:p w:rsidR="00006A66" w:rsidRDefault="00006A66" w:rsidP="00006A66">
      <w:pPr>
        <w:jc w:val="center"/>
        <w:rPr>
          <w:b/>
        </w:rPr>
      </w:pPr>
    </w:p>
    <w:p w:rsidR="00006A66" w:rsidRDefault="00006A66" w:rsidP="00006A66">
      <w:pPr>
        <w:jc w:val="center"/>
        <w:rPr>
          <w:b/>
        </w:rPr>
      </w:pPr>
    </w:p>
    <w:p w:rsidR="00006A66" w:rsidRDefault="00006A66" w:rsidP="00006A66">
      <w:pPr>
        <w:jc w:val="center"/>
        <w:rPr>
          <w:b/>
        </w:rPr>
      </w:pPr>
    </w:p>
    <w:p w:rsidR="00006A66" w:rsidRDefault="00006A66" w:rsidP="00006A66">
      <w:pPr>
        <w:jc w:val="center"/>
        <w:rPr>
          <w:b/>
        </w:rPr>
      </w:pPr>
    </w:p>
    <w:p w:rsidR="00006A66" w:rsidRDefault="00006A66" w:rsidP="00006A66">
      <w:pPr>
        <w:jc w:val="center"/>
        <w:rPr>
          <w:b/>
        </w:rPr>
      </w:pPr>
    </w:p>
    <w:p w:rsidR="00006A66" w:rsidRDefault="00006A66" w:rsidP="00006A66">
      <w:pPr>
        <w:jc w:val="center"/>
        <w:rPr>
          <w:b/>
        </w:rPr>
      </w:pPr>
    </w:p>
    <w:p w:rsidR="00006A66" w:rsidRDefault="00006A66" w:rsidP="00006A66">
      <w:pPr>
        <w:rPr>
          <w:b/>
        </w:rPr>
      </w:pPr>
    </w:p>
    <w:p w:rsidR="00006A66" w:rsidRDefault="00006A66" w:rsidP="00006A66">
      <w:pPr>
        <w:rPr>
          <w:b/>
        </w:rPr>
      </w:pPr>
    </w:p>
    <w:p w:rsidR="00006A66" w:rsidRDefault="00006A66" w:rsidP="00006A66">
      <w:pPr>
        <w:pStyle w:val="Heading3"/>
        <w:tabs>
          <w:tab w:val="clear" w:pos="810"/>
          <w:tab w:val="clear" w:pos="2160"/>
          <w:tab w:val="clear" w:pos="6120"/>
          <w:tab w:val="left" w:pos="900"/>
          <w:tab w:val="left" w:pos="5760"/>
        </w:tabs>
      </w:pPr>
      <w:r>
        <w:t xml:space="preserve">Issued:  </w:t>
      </w:r>
      <w:r w:rsidR="00D6250B">
        <w:t>April 2</w:t>
      </w:r>
      <w:r w:rsidR="008262D1">
        <w:t>8</w:t>
      </w:r>
      <w:r w:rsidR="0085314A">
        <w:t>, 201</w:t>
      </w:r>
      <w:r w:rsidR="008E0611">
        <w:t>7</w:t>
      </w:r>
      <w:r>
        <w:tab/>
        <w:t xml:space="preserve">Effective:  </w:t>
      </w:r>
      <w:r w:rsidR="00131A57">
        <w:t>June 1</w:t>
      </w:r>
      <w:r w:rsidR="006375CA">
        <w:t xml:space="preserve">, </w:t>
      </w:r>
      <w:r w:rsidR="00426FC8">
        <w:t>201</w:t>
      </w:r>
      <w:r w:rsidR="008E0611">
        <w:t>7</w:t>
      </w:r>
    </w:p>
    <w:p w:rsidR="00006A66" w:rsidRDefault="00006A66" w:rsidP="00006A66">
      <w:pPr>
        <w:tabs>
          <w:tab w:val="left" w:pos="-1080"/>
          <w:tab w:val="left" w:pos="-720"/>
          <w:tab w:val="left" w:pos="0"/>
          <w:tab w:val="left" w:pos="900"/>
          <w:tab w:val="left" w:pos="2160"/>
        </w:tabs>
        <w:rPr>
          <w:b/>
        </w:rPr>
      </w:pPr>
    </w:p>
    <w:p w:rsidR="00006A66" w:rsidRDefault="00006A66" w:rsidP="00006A66">
      <w:pPr>
        <w:tabs>
          <w:tab w:val="left" w:pos="-1080"/>
          <w:tab w:val="left" w:pos="-720"/>
          <w:tab w:val="left" w:pos="0"/>
          <w:tab w:val="left" w:pos="900"/>
          <w:tab w:val="left" w:pos="2160"/>
        </w:tabs>
        <w:rPr>
          <w:b/>
        </w:rPr>
      </w:pPr>
      <w:r>
        <w:rPr>
          <w:b/>
        </w:rPr>
        <w:t>By:</w:t>
      </w:r>
      <w:r>
        <w:rPr>
          <w:b/>
        </w:rPr>
        <w:tab/>
      </w:r>
      <w:r w:rsidR="0058275B">
        <w:rPr>
          <w:b/>
        </w:rPr>
        <w:t>Steven E.</w:t>
      </w:r>
      <w:r w:rsidR="0074573A">
        <w:rPr>
          <w:b/>
        </w:rPr>
        <w:t xml:space="preserve"> Strah</w:t>
      </w:r>
      <w:r w:rsidR="001E5F89">
        <w:rPr>
          <w:b/>
        </w:rPr>
        <w:t>, President</w:t>
      </w:r>
    </w:p>
    <w:p w:rsidR="00006A66" w:rsidRDefault="00006A66" w:rsidP="00006A66">
      <w:pPr>
        <w:pStyle w:val="Heading6"/>
      </w:pPr>
      <w:smartTag w:uri="urn:schemas-microsoft-com:office:smarttags" w:element="place">
        <w:smartTag w:uri="urn:schemas-microsoft-com:office:smarttags" w:element="City">
          <w:r>
            <w:t>Reading</w:t>
          </w:r>
        </w:smartTag>
        <w:r>
          <w:t xml:space="preserve">, </w:t>
        </w:r>
        <w:smartTag w:uri="urn:schemas-microsoft-com:office:smarttags" w:element="State">
          <w:r>
            <w:t>Pennsylvania</w:t>
          </w:r>
        </w:smartTag>
      </w:smartTag>
    </w:p>
    <w:p w:rsidR="00006A66" w:rsidRDefault="00006A66" w:rsidP="00006A66">
      <w:pPr>
        <w:tabs>
          <w:tab w:val="left" w:pos="-1080"/>
          <w:tab w:val="left" w:pos="-720"/>
          <w:tab w:val="left" w:pos="0"/>
          <w:tab w:val="left" w:pos="810"/>
          <w:tab w:val="left" w:pos="2160"/>
        </w:tabs>
        <w:rPr>
          <w:b/>
        </w:rPr>
      </w:pPr>
    </w:p>
    <w:p w:rsidR="00006A66" w:rsidRDefault="00006A66" w:rsidP="00006A66">
      <w:pPr>
        <w:tabs>
          <w:tab w:val="left" w:pos="-1080"/>
          <w:tab w:val="left" w:pos="-720"/>
          <w:tab w:val="left" w:pos="0"/>
          <w:tab w:val="left" w:pos="720"/>
          <w:tab w:val="left" w:pos="1080"/>
          <w:tab w:val="left" w:pos="2160"/>
        </w:tabs>
        <w:jc w:val="center"/>
      </w:pPr>
    </w:p>
    <w:p w:rsidR="00006A66" w:rsidRDefault="00006A66" w:rsidP="00006A66">
      <w:pPr>
        <w:tabs>
          <w:tab w:val="left" w:pos="-1080"/>
          <w:tab w:val="left" w:pos="-720"/>
          <w:tab w:val="left" w:pos="0"/>
          <w:tab w:val="left" w:pos="720"/>
          <w:tab w:val="left" w:pos="1080"/>
          <w:tab w:val="left" w:pos="2160"/>
        </w:tabs>
        <w:jc w:val="center"/>
      </w:pPr>
    </w:p>
    <w:p w:rsidR="00006A66" w:rsidRDefault="00006A66" w:rsidP="00006A66">
      <w:pPr>
        <w:tabs>
          <w:tab w:val="left" w:pos="-1080"/>
          <w:tab w:val="left" w:pos="-720"/>
          <w:tab w:val="left" w:pos="0"/>
          <w:tab w:val="left" w:pos="720"/>
          <w:tab w:val="left" w:pos="1080"/>
          <w:tab w:val="left" w:pos="2160"/>
        </w:tabs>
        <w:jc w:val="center"/>
      </w:pPr>
    </w:p>
    <w:p w:rsidR="00006A66" w:rsidRDefault="00006A66" w:rsidP="00006A66">
      <w:pPr>
        <w:pStyle w:val="Heading5"/>
        <w:rPr>
          <w:u w:val="single"/>
        </w:rPr>
      </w:pPr>
      <w:r w:rsidRPr="00A5109A">
        <w:rPr>
          <w:u w:val="single"/>
        </w:rPr>
        <w:t>NOTICE</w:t>
      </w:r>
    </w:p>
    <w:p w:rsidR="00A5109A" w:rsidRPr="00A5109A" w:rsidRDefault="00A5109A" w:rsidP="00A5109A"/>
    <w:p w:rsidR="00A03F43" w:rsidRDefault="00F7720D" w:rsidP="00F7720D">
      <w:pPr>
        <w:tabs>
          <w:tab w:val="left" w:pos="-1080"/>
          <w:tab w:val="left" w:pos="-720"/>
          <w:tab w:val="left" w:pos="0"/>
          <w:tab w:val="left" w:pos="810"/>
          <w:tab w:val="left" w:pos="2160"/>
        </w:tabs>
        <w:ind w:right="90"/>
        <w:jc w:val="center"/>
      </w:pPr>
      <w:r>
        <w:t xml:space="preserve">Supplement No. </w:t>
      </w:r>
      <w:r w:rsidR="00975BE6">
        <w:t>40</w:t>
      </w:r>
      <w:r w:rsidR="00131A57">
        <w:t xml:space="preserve"> </w:t>
      </w:r>
      <w:r w:rsidR="000C50FF">
        <w:t xml:space="preserve">makes </w:t>
      </w:r>
      <w:r>
        <w:t xml:space="preserve">changes </w:t>
      </w:r>
      <w:r w:rsidR="00185879">
        <w:t xml:space="preserve">to </w:t>
      </w:r>
      <w:r>
        <w:t>Rider</w:t>
      </w:r>
      <w:r w:rsidR="00A03F43">
        <w:t xml:space="preserve"> </w:t>
      </w:r>
      <w:r w:rsidR="0028307B">
        <w:t>J</w:t>
      </w:r>
      <w:r w:rsidR="00A03F43">
        <w:t>.</w:t>
      </w:r>
    </w:p>
    <w:p w:rsidR="00F7720D" w:rsidRDefault="00F7720D" w:rsidP="00F7720D">
      <w:pPr>
        <w:tabs>
          <w:tab w:val="left" w:pos="-1080"/>
          <w:tab w:val="left" w:pos="-720"/>
          <w:tab w:val="left" w:pos="0"/>
          <w:tab w:val="left" w:pos="810"/>
          <w:tab w:val="left" w:pos="2160"/>
        </w:tabs>
        <w:ind w:right="90"/>
        <w:jc w:val="center"/>
      </w:pPr>
      <w:r>
        <w:t xml:space="preserve">See </w:t>
      </w:r>
      <w:r w:rsidR="008262D1">
        <w:t>Thirty-S</w:t>
      </w:r>
      <w:r w:rsidR="00CA0BDE">
        <w:t>eventh</w:t>
      </w:r>
      <w:r w:rsidR="007673AD">
        <w:t xml:space="preserve"> </w:t>
      </w:r>
      <w:r>
        <w:t>Revised Page No. 2</w:t>
      </w:r>
      <w:r w:rsidR="00B71F68">
        <w:t>.</w:t>
      </w:r>
    </w:p>
    <w:p w:rsidR="00CD10D2" w:rsidRPr="008021B8" w:rsidRDefault="00CD10D2" w:rsidP="000203F6">
      <w:pPr>
        <w:tabs>
          <w:tab w:val="left" w:pos="-1080"/>
          <w:tab w:val="left" w:pos="-720"/>
          <w:tab w:val="left" w:pos="0"/>
          <w:tab w:val="left" w:pos="720"/>
          <w:tab w:val="left" w:pos="1080"/>
          <w:tab w:val="left" w:pos="2160"/>
        </w:tabs>
        <w:spacing w:line="240" w:lineRule="exact"/>
      </w:pPr>
    </w:p>
    <w:p w:rsidR="00CD10D2" w:rsidRPr="008021B8" w:rsidRDefault="00CD10D2">
      <w:pPr>
        <w:tabs>
          <w:tab w:val="left" w:pos="-1080"/>
          <w:tab w:val="left" w:pos="-720"/>
          <w:tab w:val="left" w:pos="0"/>
          <w:tab w:val="left" w:pos="720"/>
          <w:tab w:val="left" w:pos="1080"/>
          <w:tab w:val="left" w:pos="2160"/>
        </w:tabs>
        <w:spacing w:line="240" w:lineRule="exact"/>
        <w:jc w:val="center"/>
        <w:sectPr w:rsidR="00CD10D2" w:rsidRPr="008021B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1440" w:bottom="720" w:left="1440" w:header="720" w:footer="720" w:gutter="0"/>
          <w:cols w:space="720"/>
          <w:noEndnote/>
        </w:sectPr>
      </w:pPr>
    </w:p>
    <w:p w:rsidR="00CD10D2" w:rsidRPr="008021B8" w:rsidRDefault="00CD10D2">
      <w:pPr>
        <w:tabs>
          <w:tab w:val="left" w:pos="-1080"/>
          <w:tab w:val="left" w:pos="-720"/>
          <w:tab w:val="left" w:pos="0"/>
          <w:tab w:val="left" w:pos="720"/>
          <w:tab w:val="left" w:pos="1080"/>
          <w:tab w:val="left" w:pos="2160"/>
        </w:tabs>
        <w:jc w:val="center"/>
      </w:pPr>
    </w:p>
    <w:p w:rsidR="00006A66" w:rsidRDefault="00006A66" w:rsidP="00006A66">
      <w:pPr>
        <w:pStyle w:val="Heading4"/>
      </w:pPr>
      <w:r>
        <w:t>LIST OF MODIFICATIONS</w:t>
      </w:r>
    </w:p>
    <w:p w:rsidR="00661E8E" w:rsidRDefault="00661E8E" w:rsidP="00661E8E">
      <w:pPr>
        <w:rPr>
          <w:szCs w:val="24"/>
        </w:rPr>
      </w:pPr>
    </w:p>
    <w:p w:rsidR="00661E8E" w:rsidRDefault="00661E8E" w:rsidP="00661E8E">
      <w:pPr>
        <w:rPr>
          <w:szCs w:val="24"/>
          <w:u w:val="single"/>
        </w:rPr>
      </w:pPr>
      <w:r>
        <w:rPr>
          <w:szCs w:val="24"/>
          <w:u w:val="single"/>
        </w:rPr>
        <w:t>Riders</w:t>
      </w:r>
    </w:p>
    <w:p w:rsidR="00661E8E" w:rsidRDefault="00661E8E" w:rsidP="00661E8E">
      <w:pPr>
        <w:rPr>
          <w:szCs w:val="24"/>
          <w:u w:val="single"/>
        </w:rPr>
      </w:pPr>
    </w:p>
    <w:p w:rsidR="002C0197" w:rsidRDefault="002C0197" w:rsidP="002C0197">
      <w:pPr>
        <w:spacing w:line="240" w:lineRule="exact"/>
        <w:rPr>
          <w:szCs w:val="24"/>
        </w:rPr>
      </w:pPr>
      <w:r>
        <w:rPr>
          <w:szCs w:val="24"/>
        </w:rPr>
        <w:t>Rider J – D</w:t>
      </w:r>
      <w:r w:rsidR="008E0611">
        <w:rPr>
          <w:szCs w:val="24"/>
        </w:rPr>
        <w:t>efault Service Support</w:t>
      </w:r>
      <w:r>
        <w:rPr>
          <w:szCs w:val="24"/>
        </w:rPr>
        <w:t xml:space="preserve"> Rider has been modified to eliminate the </w:t>
      </w:r>
      <w:r w:rsidRPr="00B20F11">
        <w:rPr>
          <w:szCs w:val="24"/>
        </w:rPr>
        <w:t>TSC</w:t>
      </w:r>
      <w:r w:rsidRPr="00B20F11">
        <w:rPr>
          <w:szCs w:val="24"/>
          <w:vertAlign w:val="subscript"/>
        </w:rPr>
        <w:t>1</w:t>
      </w:r>
      <w:r>
        <w:rPr>
          <w:szCs w:val="24"/>
          <w:vertAlign w:val="subscript"/>
        </w:rPr>
        <w:t xml:space="preserve"> </w:t>
      </w:r>
      <w:r>
        <w:rPr>
          <w:szCs w:val="24"/>
        </w:rPr>
        <w:t>Component</w:t>
      </w:r>
      <w:r w:rsidR="00F470BD">
        <w:rPr>
          <w:szCs w:val="24"/>
        </w:rPr>
        <w:t xml:space="preserve"> and rates have been decreased</w:t>
      </w:r>
      <w:r>
        <w:rPr>
          <w:szCs w:val="24"/>
        </w:rPr>
        <w:t xml:space="preserve"> (See </w:t>
      </w:r>
      <w:r w:rsidR="00952B56">
        <w:rPr>
          <w:szCs w:val="24"/>
        </w:rPr>
        <w:t>Fifth</w:t>
      </w:r>
      <w:r>
        <w:rPr>
          <w:szCs w:val="24"/>
        </w:rPr>
        <w:t xml:space="preserve"> Revised Page 149, </w:t>
      </w:r>
      <w:r w:rsidR="00952B56">
        <w:rPr>
          <w:szCs w:val="24"/>
        </w:rPr>
        <w:t xml:space="preserve">Second </w:t>
      </w:r>
      <w:r>
        <w:rPr>
          <w:szCs w:val="24"/>
        </w:rPr>
        <w:t>Revised Page 150</w:t>
      </w:r>
      <w:r w:rsidR="003736E9">
        <w:rPr>
          <w:szCs w:val="24"/>
        </w:rPr>
        <w:t xml:space="preserve"> and </w:t>
      </w:r>
      <w:r w:rsidR="00952B56">
        <w:rPr>
          <w:szCs w:val="24"/>
        </w:rPr>
        <w:t>Third</w:t>
      </w:r>
      <w:r>
        <w:rPr>
          <w:szCs w:val="24"/>
        </w:rPr>
        <w:t xml:space="preserve"> Revised Page</w:t>
      </w:r>
      <w:r w:rsidR="008E0611">
        <w:rPr>
          <w:szCs w:val="24"/>
        </w:rPr>
        <w:t>s</w:t>
      </w:r>
      <w:r>
        <w:rPr>
          <w:szCs w:val="24"/>
        </w:rPr>
        <w:t xml:space="preserve"> 151</w:t>
      </w:r>
      <w:r w:rsidR="008E0611">
        <w:rPr>
          <w:szCs w:val="24"/>
        </w:rPr>
        <w:t>-154</w:t>
      </w:r>
      <w:r>
        <w:rPr>
          <w:szCs w:val="24"/>
        </w:rPr>
        <w:t>).</w:t>
      </w:r>
    </w:p>
    <w:p w:rsidR="00661E8E" w:rsidRDefault="00661E8E" w:rsidP="00661E8E">
      <w:pPr>
        <w:rPr>
          <w:szCs w:val="24"/>
        </w:rPr>
      </w:pPr>
    </w:p>
    <w:p w:rsidR="009A1521" w:rsidRDefault="009A1521" w:rsidP="009B2699">
      <w:pPr>
        <w:rPr>
          <w:szCs w:val="24"/>
        </w:rPr>
      </w:pPr>
    </w:p>
    <w:p w:rsidR="009A1521" w:rsidRPr="009A1521" w:rsidRDefault="009A1521" w:rsidP="009A1521">
      <w:pPr>
        <w:rPr>
          <w:szCs w:val="24"/>
        </w:rPr>
      </w:pPr>
    </w:p>
    <w:p w:rsidR="009A1521" w:rsidRPr="009A1521" w:rsidRDefault="009A1521" w:rsidP="009A1521">
      <w:pPr>
        <w:rPr>
          <w:szCs w:val="24"/>
        </w:rPr>
      </w:pPr>
    </w:p>
    <w:p w:rsidR="009A1521" w:rsidRPr="009A1521" w:rsidRDefault="009A1521" w:rsidP="009A1521">
      <w:pPr>
        <w:rPr>
          <w:szCs w:val="24"/>
        </w:rPr>
      </w:pPr>
    </w:p>
    <w:p w:rsidR="009A1521" w:rsidRPr="009A1521" w:rsidRDefault="009A1521" w:rsidP="009A1521">
      <w:pPr>
        <w:rPr>
          <w:szCs w:val="24"/>
        </w:rPr>
      </w:pPr>
    </w:p>
    <w:p w:rsidR="009A1521" w:rsidRPr="009A1521" w:rsidRDefault="009A1521" w:rsidP="009A1521">
      <w:pPr>
        <w:rPr>
          <w:szCs w:val="24"/>
        </w:rPr>
      </w:pPr>
    </w:p>
    <w:p w:rsidR="009A1521" w:rsidRDefault="009A1521" w:rsidP="009A1521">
      <w:pPr>
        <w:tabs>
          <w:tab w:val="left" w:pos="6760"/>
        </w:tabs>
        <w:rPr>
          <w:szCs w:val="24"/>
        </w:rPr>
      </w:pPr>
      <w:r>
        <w:rPr>
          <w:szCs w:val="24"/>
        </w:rPr>
        <w:tab/>
      </w:r>
    </w:p>
    <w:p w:rsidR="009A1521" w:rsidRDefault="009A1521" w:rsidP="009A1521">
      <w:pPr>
        <w:rPr>
          <w:szCs w:val="24"/>
        </w:rPr>
      </w:pPr>
    </w:p>
    <w:p w:rsidR="001A1D92" w:rsidRPr="009A1521" w:rsidRDefault="001A1D92" w:rsidP="009A1521">
      <w:pPr>
        <w:rPr>
          <w:szCs w:val="24"/>
        </w:rPr>
        <w:sectPr w:rsidR="001A1D92" w:rsidRPr="009A1521">
          <w:headerReference w:type="default" r:id="rId14"/>
          <w:footerReference w:type="default" r:id="rId15"/>
          <w:endnotePr>
            <w:numFmt w:val="decimal"/>
          </w:endnotePr>
          <w:pgSz w:w="12240" w:h="15840"/>
          <w:pgMar w:top="720" w:right="1440" w:bottom="720" w:left="1440" w:header="720" w:footer="720" w:gutter="0"/>
          <w:cols w:space="720"/>
          <w:noEndnote/>
        </w:sectPr>
      </w:pPr>
    </w:p>
    <w:p w:rsidR="00256B6E" w:rsidRDefault="00256B6E" w:rsidP="00256B6E">
      <w:pPr>
        <w:ind w:right="720"/>
        <w:jc w:val="center"/>
        <w:rPr>
          <w:szCs w:val="24"/>
        </w:rPr>
      </w:pPr>
      <w:r>
        <w:rPr>
          <w:szCs w:val="24"/>
        </w:rPr>
        <w:lastRenderedPageBreak/>
        <w:t>RIDERS</w:t>
      </w:r>
    </w:p>
    <w:p w:rsidR="00256B6E" w:rsidRDefault="00256B6E" w:rsidP="00256B6E">
      <w:pPr>
        <w:ind w:right="720"/>
        <w:jc w:val="center"/>
        <w:rPr>
          <w:szCs w:val="24"/>
        </w:rPr>
      </w:pPr>
    </w:p>
    <w:p w:rsidR="002C0197" w:rsidRPr="00B20F11" w:rsidRDefault="002C0197" w:rsidP="002C0197">
      <w:pPr>
        <w:ind w:right="720"/>
        <w:jc w:val="center"/>
        <w:rPr>
          <w:szCs w:val="24"/>
        </w:rPr>
      </w:pPr>
      <w:r w:rsidRPr="00B20F11">
        <w:rPr>
          <w:szCs w:val="24"/>
        </w:rPr>
        <w:t xml:space="preserve">RIDER </w:t>
      </w:r>
      <w:r>
        <w:rPr>
          <w:szCs w:val="24"/>
        </w:rPr>
        <w:t>J</w:t>
      </w:r>
    </w:p>
    <w:p w:rsidR="002C0197" w:rsidRPr="00B20F11" w:rsidRDefault="002C0197" w:rsidP="002C0197">
      <w:pPr>
        <w:jc w:val="center"/>
        <w:rPr>
          <w:szCs w:val="24"/>
        </w:rPr>
      </w:pPr>
      <w:r w:rsidRPr="00B20F11">
        <w:rPr>
          <w:szCs w:val="24"/>
        </w:rPr>
        <w:t>DEFAULT SERVICE SUPPORT RIDER</w:t>
      </w:r>
    </w:p>
    <w:p w:rsidR="002C0197" w:rsidRPr="00B20F11" w:rsidRDefault="002C0197" w:rsidP="002C0197">
      <w:pPr>
        <w:jc w:val="center"/>
        <w:rPr>
          <w:szCs w:val="24"/>
        </w:rPr>
      </w:pPr>
    </w:p>
    <w:p w:rsidR="002C0197" w:rsidRPr="00B20F11" w:rsidRDefault="002C0197" w:rsidP="002C0197">
      <w:pPr>
        <w:tabs>
          <w:tab w:val="left" w:pos="720"/>
          <w:tab w:val="left" w:pos="9720"/>
        </w:tabs>
        <w:rPr>
          <w:szCs w:val="24"/>
        </w:rPr>
      </w:pPr>
      <w:r w:rsidRPr="00B20F11">
        <w:rPr>
          <w:szCs w:val="24"/>
        </w:rPr>
        <w:tab/>
        <w:t>A Default Service Support (“DSS”) rate shall be applied to DSS Sales delivered by the Company to Delivery Service Customers under this rider as determined to the nearest one-thousandth of a cent per kWh or dollar per kW NSPL, as applicable.  The DSS rate shall be billed to Customers receiving Delivery Service from the Company under this rider.  The DSS rates shall be calculated according to the provisions of this rider.  The DSS Rider shall be non-</w:t>
      </w:r>
      <w:proofErr w:type="spellStart"/>
      <w:r w:rsidRPr="00B20F11">
        <w:rPr>
          <w:szCs w:val="24"/>
        </w:rPr>
        <w:t>bypassable</w:t>
      </w:r>
      <w:proofErr w:type="spellEnd"/>
      <w:r w:rsidRPr="00B20F11">
        <w:rPr>
          <w:szCs w:val="24"/>
        </w:rPr>
        <w:t>.</w:t>
      </w:r>
    </w:p>
    <w:p w:rsidR="002C0197" w:rsidRPr="00B20F11" w:rsidRDefault="002C0197" w:rsidP="002C0197">
      <w:pPr>
        <w:rPr>
          <w:szCs w:val="24"/>
        </w:rPr>
      </w:pPr>
    </w:p>
    <w:p w:rsidR="002C0197" w:rsidRPr="00B20F11" w:rsidRDefault="002C0197" w:rsidP="002C0197">
      <w:pPr>
        <w:ind w:firstLine="720"/>
        <w:rPr>
          <w:szCs w:val="24"/>
        </w:rPr>
      </w:pPr>
      <w:r w:rsidRPr="00B20F11">
        <w:rPr>
          <w:szCs w:val="24"/>
        </w:rPr>
        <w:t>For service rendered during the DSS Initial Computational Period and thereafter, the DSS Computational Year, the DSS rates billed by Rate Schedule are as follows:</w:t>
      </w:r>
    </w:p>
    <w:p w:rsidR="002C0197" w:rsidRPr="00B20F11" w:rsidRDefault="002C0197" w:rsidP="002C0197">
      <w:pPr>
        <w:tabs>
          <w:tab w:val="left" w:pos="720"/>
          <w:tab w:val="left" w:pos="9720"/>
        </w:tabs>
        <w:rPr>
          <w:szCs w:val="24"/>
        </w:rPr>
      </w:pPr>
    </w:p>
    <w:tbl>
      <w:tblPr>
        <w:tblW w:w="8952" w:type="dxa"/>
        <w:tblInd w:w="948" w:type="dxa"/>
        <w:tblLook w:val="0000" w:firstRow="0" w:lastRow="0" w:firstColumn="0" w:lastColumn="0" w:noHBand="0" w:noVBand="0"/>
      </w:tblPr>
      <w:tblGrid>
        <w:gridCol w:w="3953"/>
        <w:gridCol w:w="1683"/>
        <w:gridCol w:w="3316"/>
      </w:tblGrid>
      <w:tr w:rsidR="002C0197" w:rsidRPr="00B20F11" w:rsidTr="008033B0">
        <w:trPr>
          <w:trHeight w:val="315"/>
        </w:trPr>
        <w:tc>
          <w:tcPr>
            <w:tcW w:w="3953" w:type="dxa"/>
            <w:tcBorders>
              <w:top w:val="nil"/>
              <w:left w:val="nil"/>
              <w:bottom w:val="nil"/>
              <w:right w:val="nil"/>
            </w:tcBorders>
            <w:noWrap/>
            <w:vAlign w:val="bottom"/>
          </w:tcPr>
          <w:p w:rsidR="002C0197" w:rsidRPr="00B20F11" w:rsidRDefault="002C0197" w:rsidP="008033B0">
            <w:pPr>
              <w:rPr>
                <w:b/>
                <w:color w:val="000000"/>
                <w:szCs w:val="24"/>
              </w:rPr>
            </w:pPr>
          </w:p>
        </w:tc>
        <w:tc>
          <w:tcPr>
            <w:tcW w:w="1683" w:type="dxa"/>
            <w:tcBorders>
              <w:top w:val="nil"/>
              <w:left w:val="nil"/>
              <w:bottom w:val="nil"/>
              <w:right w:val="nil"/>
            </w:tcBorders>
          </w:tcPr>
          <w:p w:rsidR="002C0197" w:rsidRPr="00B20F11" w:rsidRDefault="002C0197" w:rsidP="008033B0">
            <w:pPr>
              <w:rPr>
                <w:b/>
                <w:color w:val="000000"/>
                <w:szCs w:val="24"/>
              </w:rPr>
            </w:pPr>
          </w:p>
        </w:tc>
        <w:tc>
          <w:tcPr>
            <w:tcW w:w="3316" w:type="dxa"/>
            <w:tcBorders>
              <w:top w:val="nil"/>
              <w:left w:val="nil"/>
              <w:bottom w:val="nil"/>
              <w:right w:val="nil"/>
            </w:tcBorders>
            <w:noWrap/>
            <w:vAlign w:val="bottom"/>
          </w:tcPr>
          <w:p w:rsidR="002C0197" w:rsidRPr="00B20F11" w:rsidRDefault="002C0197" w:rsidP="008033B0">
            <w:pPr>
              <w:rPr>
                <w:b/>
                <w:color w:val="000000"/>
                <w:szCs w:val="24"/>
              </w:rPr>
            </w:pPr>
          </w:p>
        </w:tc>
      </w:tr>
      <w:tr w:rsidR="002C0197" w:rsidRPr="00B20F11" w:rsidTr="008033B0">
        <w:trPr>
          <w:trHeight w:val="315"/>
        </w:trPr>
        <w:tc>
          <w:tcPr>
            <w:tcW w:w="3953" w:type="dxa"/>
            <w:tcBorders>
              <w:top w:val="nil"/>
              <w:left w:val="nil"/>
              <w:bottom w:val="nil"/>
              <w:right w:val="nil"/>
            </w:tcBorders>
            <w:noWrap/>
            <w:vAlign w:val="bottom"/>
          </w:tcPr>
          <w:p w:rsidR="002C0197" w:rsidRPr="00B20F11" w:rsidRDefault="002C0197" w:rsidP="008033B0">
            <w:pPr>
              <w:rPr>
                <w:b/>
                <w:color w:val="000000"/>
                <w:szCs w:val="24"/>
                <w:u w:val="single"/>
              </w:rPr>
            </w:pPr>
            <w:r w:rsidRPr="00B20F11">
              <w:rPr>
                <w:b/>
                <w:color w:val="000000"/>
                <w:szCs w:val="24"/>
                <w:u w:val="single"/>
              </w:rPr>
              <w:t>Rate Schedule</w:t>
            </w:r>
          </w:p>
        </w:tc>
        <w:tc>
          <w:tcPr>
            <w:tcW w:w="1683" w:type="dxa"/>
            <w:tcBorders>
              <w:top w:val="nil"/>
              <w:left w:val="nil"/>
              <w:bottom w:val="nil"/>
              <w:right w:val="nil"/>
            </w:tcBorders>
          </w:tcPr>
          <w:p w:rsidR="002C0197" w:rsidRPr="00B20F11" w:rsidRDefault="002C0197" w:rsidP="008033B0">
            <w:pPr>
              <w:rPr>
                <w:b/>
                <w:color w:val="000000"/>
                <w:szCs w:val="24"/>
                <w:u w:val="single"/>
              </w:rPr>
            </w:pPr>
          </w:p>
        </w:tc>
        <w:tc>
          <w:tcPr>
            <w:tcW w:w="3316" w:type="dxa"/>
            <w:tcBorders>
              <w:top w:val="nil"/>
              <w:left w:val="nil"/>
              <w:bottom w:val="nil"/>
              <w:right w:val="nil"/>
            </w:tcBorders>
            <w:noWrap/>
            <w:vAlign w:val="bottom"/>
          </w:tcPr>
          <w:p w:rsidR="002C0197" w:rsidRPr="00B20F11" w:rsidRDefault="002C0197" w:rsidP="008033B0">
            <w:pPr>
              <w:rPr>
                <w:b/>
                <w:color w:val="000000"/>
                <w:szCs w:val="24"/>
                <w:u w:val="single"/>
              </w:rPr>
            </w:pPr>
            <w:r>
              <w:rPr>
                <w:b/>
                <w:color w:val="000000"/>
                <w:szCs w:val="24"/>
                <w:u w:val="single"/>
              </w:rPr>
              <w:t xml:space="preserve">DSS </w:t>
            </w:r>
            <w:r w:rsidRPr="00B20F11">
              <w:rPr>
                <w:b/>
                <w:color w:val="000000"/>
                <w:szCs w:val="24"/>
                <w:u w:val="single"/>
              </w:rPr>
              <w:t>Rates</w:t>
            </w:r>
            <w:r w:rsidRPr="00B20F11">
              <w:rPr>
                <w:b/>
                <w:color w:val="000000"/>
                <w:szCs w:val="24"/>
              </w:rPr>
              <w:t xml:space="preserve"> </w:t>
            </w:r>
          </w:p>
        </w:tc>
      </w:tr>
      <w:tr w:rsidR="002C0197" w:rsidRPr="00B20F11" w:rsidTr="008033B0">
        <w:trPr>
          <w:trHeight w:val="315"/>
        </w:trPr>
        <w:tc>
          <w:tcPr>
            <w:tcW w:w="3953" w:type="dxa"/>
            <w:tcBorders>
              <w:top w:val="nil"/>
              <w:left w:val="nil"/>
              <w:bottom w:val="nil"/>
              <w:right w:val="nil"/>
            </w:tcBorders>
            <w:noWrap/>
            <w:vAlign w:val="bottom"/>
          </w:tcPr>
          <w:p w:rsidR="002C0197" w:rsidRPr="00B20F11" w:rsidRDefault="002C0197" w:rsidP="008033B0">
            <w:pPr>
              <w:rPr>
                <w:color w:val="000000"/>
                <w:szCs w:val="24"/>
              </w:rPr>
            </w:pPr>
          </w:p>
        </w:tc>
        <w:tc>
          <w:tcPr>
            <w:tcW w:w="1683" w:type="dxa"/>
            <w:tcBorders>
              <w:top w:val="nil"/>
              <w:left w:val="nil"/>
              <w:bottom w:val="nil"/>
              <w:right w:val="nil"/>
            </w:tcBorders>
          </w:tcPr>
          <w:p w:rsidR="002C0197" w:rsidRPr="00B20F11" w:rsidRDefault="002C0197" w:rsidP="008033B0">
            <w:pPr>
              <w:rPr>
                <w:color w:val="000000"/>
                <w:szCs w:val="24"/>
              </w:rPr>
            </w:pPr>
          </w:p>
        </w:tc>
        <w:tc>
          <w:tcPr>
            <w:tcW w:w="3316" w:type="dxa"/>
            <w:tcBorders>
              <w:top w:val="nil"/>
              <w:left w:val="nil"/>
              <w:bottom w:val="nil"/>
              <w:right w:val="nil"/>
            </w:tcBorders>
            <w:noWrap/>
            <w:vAlign w:val="bottom"/>
          </w:tcPr>
          <w:p w:rsidR="002C0197" w:rsidRPr="00B20F11" w:rsidRDefault="002C0197" w:rsidP="008033B0">
            <w:pPr>
              <w:rPr>
                <w:color w:val="000000"/>
                <w:szCs w:val="24"/>
              </w:rPr>
            </w:pPr>
          </w:p>
        </w:tc>
      </w:tr>
      <w:tr w:rsidR="002C0197" w:rsidRPr="00B20F11" w:rsidTr="008033B0">
        <w:trPr>
          <w:trHeight w:val="315"/>
        </w:trPr>
        <w:tc>
          <w:tcPr>
            <w:tcW w:w="3953" w:type="dxa"/>
            <w:tcBorders>
              <w:top w:val="nil"/>
              <w:left w:val="nil"/>
              <w:bottom w:val="nil"/>
              <w:right w:val="nil"/>
            </w:tcBorders>
            <w:noWrap/>
            <w:vAlign w:val="bottom"/>
          </w:tcPr>
          <w:p w:rsidR="002C0197" w:rsidRPr="00B20F11" w:rsidRDefault="002C0197" w:rsidP="008033B0">
            <w:pPr>
              <w:rPr>
                <w:color w:val="000000"/>
                <w:szCs w:val="24"/>
              </w:rPr>
            </w:pPr>
            <w:r w:rsidRPr="00B20F11">
              <w:rPr>
                <w:color w:val="000000"/>
                <w:szCs w:val="24"/>
              </w:rPr>
              <w:t xml:space="preserve">Rate Schedule RS &amp; GS Volunteer Fire Company and Non-Profit Ambulance Service, Rescue Squad and Senior Center Service Rate </w:t>
            </w:r>
          </w:p>
        </w:tc>
        <w:tc>
          <w:tcPr>
            <w:tcW w:w="1683" w:type="dxa"/>
            <w:tcBorders>
              <w:top w:val="nil"/>
              <w:left w:val="nil"/>
              <w:bottom w:val="nil"/>
              <w:right w:val="nil"/>
            </w:tcBorders>
          </w:tcPr>
          <w:p w:rsidR="002C0197" w:rsidRPr="00B20F11" w:rsidRDefault="002C0197" w:rsidP="008033B0">
            <w:pPr>
              <w:rPr>
                <w:color w:val="000000"/>
                <w:szCs w:val="24"/>
              </w:rPr>
            </w:pPr>
          </w:p>
        </w:tc>
        <w:tc>
          <w:tcPr>
            <w:tcW w:w="3316" w:type="dxa"/>
            <w:tcBorders>
              <w:top w:val="nil"/>
              <w:left w:val="nil"/>
              <w:bottom w:val="nil"/>
              <w:right w:val="nil"/>
            </w:tcBorders>
            <w:noWrap/>
            <w:vAlign w:val="bottom"/>
          </w:tcPr>
          <w:p w:rsidR="002C0197" w:rsidRPr="00B20F11" w:rsidRDefault="00952B56" w:rsidP="008033B0">
            <w:pPr>
              <w:rPr>
                <w:color w:val="000000"/>
                <w:szCs w:val="24"/>
              </w:rPr>
            </w:pPr>
            <w:r>
              <w:rPr>
                <w:color w:val="000000"/>
                <w:szCs w:val="24"/>
              </w:rPr>
              <w:t>0.478</w:t>
            </w:r>
            <w:r w:rsidR="002C0197">
              <w:rPr>
                <w:color w:val="000000"/>
                <w:szCs w:val="24"/>
              </w:rPr>
              <w:t xml:space="preserve"> cents per kWh </w:t>
            </w:r>
            <w:r>
              <w:rPr>
                <w:color w:val="000000"/>
                <w:szCs w:val="24"/>
              </w:rPr>
              <w:t xml:space="preserve"> (</w:t>
            </w:r>
            <w:r w:rsidR="004D53E6">
              <w:rPr>
                <w:color w:val="000000"/>
                <w:szCs w:val="24"/>
              </w:rPr>
              <w:t>D</w:t>
            </w:r>
            <w:r>
              <w:rPr>
                <w:color w:val="000000"/>
                <w:szCs w:val="24"/>
              </w:rPr>
              <w:t>)</w:t>
            </w:r>
          </w:p>
        </w:tc>
      </w:tr>
      <w:tr w:rsidR="002C0197" w:rsidRPr="00B20F11" w:rsidTr="008033B0">
        <w:trPr>
          <w:trHeight w:val="315"/>
        </w:trPr>
        <w:tc>
          <w:tcPr>
            <w:tcW w:w="3953" w:type="dxa"/>
            <w:tcBorders>
              <w:top w:val="nil"/>
              <w:left w:val="nil"/>
              <w:bottom w:val="nil"/>
              <w:right w:val="nil"/>
            </w:tcBorders>
            <w:noWrap/>
            <w:vAlign w:val="bottom"/>
          </w:tcPr>
          <w:p w:rsidR="002C0197" w:rsidRPr="00B20F11" w:rsidRDefault="002C0197" w:rsidP="008033B0">
            <w:pPr>
              <w:rPr>
                <w:color w:val="000000"/>
                <w:szCs w:val="24"/>
              </w:rPr>
            </w:pPr>
            <w:r w:rsidRPr="00B20F11">
              <w:rPr>
                <w:color w:val="000000"/>
                <w:szCs w:val="24"/>
              </w:rPr>
              <w:t>Rate Schedule GS – Small</w:t>
            </w:r>
          </w:p>
        </w:tc>
        <w:tc>
          <w:tcPr>
            <w:tcW w:w="1683" w:type="dxa"/>
            <w:tcBorders>
              <w:top w:val="nil"/>
              <w:left w:val="nil"/>
              <w:bottom w:val="nil"/>
              <w:right w:val="nil"/>
            </w:tcBorders>
          </w:tcPr>
          <w:p w:rsidR="002C0197" w:rsidRPr="00B20F11" w:rsidRDefault="002C0197" w:rsidP="008033B0">
            <w:pPr>
              <w:rPr>
                <w:color w:val="000000"/>
                <w:szCs w:val="24"/>
              </w:rPr>
            </w:pPr>
          </w:p>
        </w:tc>
        <w:tc>
          <w:tcPr>
            <w:tcW w:w="3316" w:type="dxa"/>
            <w:tcBorders>
              <w:top w:val="nil"/>
              <w:left w:val="nil"/>
              <w:bottom w:val="nil"/>
              <w:right w:val="nil"/>
            </w:tcBorders>
            <w:noWrap/>
            <w:vAlign w:val="bottom"/>
          </w:tcPr>
          <w:p w:rsidR="002C0197" w:rsidRPr="00B20F11" w:rsidRDefault="00952B56" w:rsidP="008033B0">
            <w:pPr>
              <w:rPr>
                <w:color w:val="000000"/>
                <w:szCs w:val="24"/>
              </w:rPr>
            </w:pPr>
            <w:r>
              <w:rPr>
                <w:color w:val="000000"/>
                <w:szCs w:val="24"/>
              </w:rPr>
              <w:t>0.264</w:t>
            </w:r>
            <w:r w:rsidR="002C0197">
              <w:rPr>
                <w:color w:val="000000"/>
                <w:szCs w:val="24"/>
              </w:rPr>
              <w:t xml:space="preserve"> cents per </w:t>
            </w:r>
            <w:proofErr w:type="gramStart"/>
            <w:r w:rsidR="002C0197">
              <w:rPr>
                <w:color w:val="000000"/>
                <w:szCs w:val="24"/>
              </w:rPr>
              <w:t xml:space="preserve">kWh </w:t>
            </w:r>
            <w:r>
              <w:rPr>
                <w:color w:val="000000"/>
                <w:szCs w:val="24"/>
              </w:rPr>
              <w:t xml:space="preserve"> (</w:t>
            </w:r>
            <w:proofErr w:type="gramEnd"/>
            <w:r>
              <w:rPr>
                <w:color w:val="000000"/>
                <w:szCs w:val="24"/>
              </w:rPr>
              <w:t>D)</w:t>
            </w:r>
          </w:p>
        </w:tc>
      </w:tr>
      <w:tr w:rsidR="002C0197" w:rsidRPr="00B20F11" w:rsidTr="008033B0">
        <w:trPr>
          <w:trHeight w:val="315"/>
        </w:trPr>
        <w:tc>
          <w:tcPr>
            <w:tcW w:w="3953" w:type="dxa"/>
            <w:tcBorders>
              <w:top w:val="nil"/>
              <w:left w:val="nil"/>
              <w:bottom w:val="nil"/>
              <w:right w:val="nil"/>
            </w:tcBorders>
            <w:noWrap/>
            <w:vAlign w:val="bottom"/>
          </w:tcPr>
          <w:p w:rsidR="002C0197" w:rsidRPr="00B20F11" w:rsidRDefault="002C0197" w:rsidP="008033B0">
            <w:pPr>
              <w:rPr>
                <w:color w:val="000000"/>
                <w:szCs w:val="24"/>
              </w:rPr>
            </w:pPr>
            <w:r w:rsidRPr="00B20F11">
              <w:rPr>
                <w:color w:val="000000"/>
                <w:szCs w:val="24"/>
              </w:rPr>
              <w:t>Rate Schedule GS – Medium</w:t>
            </w:r>
          </w:p>
        </w:tc>
        <w:tc>
          <w:tcPr>
            <w:tcW w:w="1683" w:type="dxa"/>
            <w:tcBorders>
              <w:top w:val="nil"/>
              <w:left w:val="nil"/>
              <w:bottom w:val="nil"/>
              <w:right w:val="nil"/>
            </w:tcBorders>
          </w:tcPr>
          <w:p w:rsidR="002C0197" w:rsidRPr="00B20F11" w:rsidRDefault="002C0197" w:rsidP="008033B0">
            <w:pPr>
              <w:rPr>
                <w:color w:val="000000"/>
                <w:szCs w:val="24"/>
              </w:rPr>
            </w:pPr>
          </w:p>
        </w:tc>
        <w:tc>
          <w:tcPr>
            <w:tcW w:w="3316" w:type="dxa"/>
            <w:tcBorders>
              <w:top w:val="nil"/>
              <w:left w:val="nil"/>
              <w:bottom w:val="nil"/>
              <w:right w:val="nil"/>
            </w:tcBorders>
            <w:noWrap/>
            <w:vAlign w:val="bottom"/>
          </w:tcPr>
          <w:p w:rsidR="002C0197" w:rsidRPr="00B20F11" w:rsidRDefault="00952B56" w:rsidP="008033B0">
            <w:pPr>
              <w:rPr>
                <w:color w:val="000000"/>
                <w:szCs w:val="24"/>
              </w:rPr>
            </w:pPr>
            <w:r>
              <w:rPr>
                <w:color w:val="000000"/>
                <w:szCs w:val="24"/>
              </w:rPr>
              <w:t>0.264</w:t>
            </w:r>
            <w:r w:rsidR="002C0197">
              <w:rPr>
                <w:color w:val="000000"/>
                <w:szCs w:val="24"/>
              </w:rPr>
              <w:t xml:space="preserve"> cents per </w:t>
            </w:r>
            <w:proofErr w:type="gramStart"/>
            <w:r w:rsidR="002C0197">
              <w:rPr>
                <w:color w:val="000000"/>
                <w:szCs w:val="24"/>
              </w:rPr>
              <w:t xml:space="preserve">kWh </w:t>
            </w:r>
            <w:r>
              <w:rPr>
                <w:color w:val="000000"/>
                <w:szCs w:val="24"/>
              </w:rPr>
              <w:t xml:space="preserve"> (</w:t>
            </w:r>
            <w:proofErr w:type="gramEnd"/>
            <w:r>
              <w:rPr>
                <w:color w:val="000000"/>
                <w:szCs w:val="24"/>
              </w:rPr>
              <w:t>D)</w:t>
            </w:r>
          </w:p>
        </w:tc>
      </w:tr>
      <w:tr w:rsidR="002C0197" w:rsidRPr="00B20F11" w:rsidTr="008033B0">
        <w:trPr>
          <w:trHeight w:val="315"/>
        </w:trPr>
        <w:tc>
          <w:tcPr>
            <w:tcW w:w="3953" w:type="dxa"/>
            <w:tcBorders>
              <w:top w:val="nil"/>
              <w:left w:val="nil"/>
              <w:bottom w:val="nil"/>
              <w:right w:val="nil"/>
            </w:tcBorders>
            <w:noWrap/>
            <w:vAlign w:val="bottom"/>
          </w:tcPr>
          <w:p w:rsidR="002C0197" w:rsidRPr="00B20F11" w:rsidRDefault="002C0197" w:rsidP="008033B0">
            <w:pPr>
              <w:rPr>
                <w:color w:val="000000"/>
                <w:szCs w:val="24"/>
              </w:rPr>
            </w:pPr>
            <w:r>
              <w:rPr>
                <w:color w:val="000000"/>
                <w:szCs w:val="24"/>
              </w:rPr>
              <w:t>Rate Schedule H</w:t>
            </w:r>
          </w:p>
        </w:tc>
        <w:tc>
          <w:tcPr>
            <w:tcW w:w="1683" w:type="dxa"/>
            <w:tcBorders>
              <w:top w:val="nil"/>
              <w:left w:val="nil"/>
              <w:bottom w:val="nil"/>
              <w:right w:val="nil"/>
            </w:tcBorders>
          </w:tcPr>
          <w:p w:rsidR="002C0197" w:rsidRPr="00B20F11" w:rsidRDefault="002C0197" w:rsidP="008033B0">
            <w:pPr>
              <w:rPr>
                <w:color w:val="000000"/>
                <w:szCs w:val="24"/>
              </w:rPr>
            </w:pPr>
          </w:p>
        </w:tc>
        <w:tc>
          <w:tcPr>
            <w:tcW w:w="3316" w:type="dxa"/>
            <w:tcBorders>
              <w:top w:val="nil"/>
              <w:left w:val="nil"/>
              <w:bottom w:val="nil"/>
              <w:right w:val="nil"/>
            </w:tcBorders>
            <w:noWrap/>
            <w:vAlign w:val="bottom"/>
          </w:tcPr>
          <w:p w:rsidR="002C0197" w:rsidRDefault="00952B56" w:rsidP="008033B0">
            <w:pPr>
              <w:rPr>
                <w:color w:val="000000"/>
                <w:szCs w:val="24"/>
              </w:rPr>
            </w:pPr>
            <w:r>
              <w:rPr>
                <w:color w:val="000000"/>
                <w:szCs w:val="24"/>
              </w:rPr>
              <w:t>0.264</w:t>
            </w:r>
            <w:r w:rsidR="002C0197">
              <w:rPr>
                <w:color w:val="000000"/>
                <w:szCs w:val="24"/>
              </w:rPr>
              <w:t xml:space="preserve"> cents per </w:t>
            </w:r>
            <w:proofErr w:type="gramStart"/>
            <w:r w:rsidR="002C0197">
              <w:rPr>
                <w:color w:val="000000"/>
                <w:szCs w:val="24"/>
              </w:rPr>
              <w:t xml:space="preserve">kWh </w:t>
            </w:r>
            <w:r>
              <w:rPr>
                <w:color w:val="000000"/>
                <w:szCs w:val="24"/>
              </w:rPr>
              <w:t xml:space="preserve"> (</w:t>
            </w:r>
            <w:proofErr w:type="gramEnd"/>
            <w:r>
              <w:rPr>
                <w:color w:val="000000"/>
                <w:szCs w:val="24"/>
              </w:rPr>
              <w:t>D)</w:t>
            </w:r>
          </w:p>
        </w:tc>
      </w:tr>
      <w:tr w:rsidR="002C0197" w:rsidRPr="00B20F11" w:rsidTr="008033B0">
        <w:trPr>
          <w:trHeight w:val="315"/>
        </w:trPr>
        <w:tc>
          <w:tcPr>
            <w:tcW w:w="3953" w:type="dxa"/>
            <w:tcBorders>
              <w:top w:val="nil"/>
              <w:left w:val="nil"/>
              <w:bottom w:val="nil"/>
              <w:right w:val="nil"/>
            </w:tcBorders>
            <w:noWrap/>
            <w:vAlign w:val="bottom"/>
          </w:tcPr>
          <w:p w:rsidR="002C0197" w:rsidRPr="00B20F11" w:rsidRDefault="002C0197" w:rsidP="008033B0">
            <w:pPr>
              <w:rPr>
                <w:color w:val="000000"/>
                <w:szCs w:val="24"/>
              </w:rPr>
            </w:pPr>
            <w:r w:rsidRPr="00B20F11">
              <w:rPr>
                <w:color w:val="000000"/>
                <w:szCs w:val="24"/>
              </w:rPr>
              <w:t xml:space="preserve">Rate Schedule </w:t>
            </w:r>
            <w:r>
              <w:rPr>
                <w:color w:val="000000"/>
                <w:szCs w:val="24"/>
              </w:rPr>
              <w:t>BRD</w:t>
            </w:r>
          </w:p>
        </w:tc>
        <w:tc>
          <w:tcPr>
            <w:tcW w:w="1683" w:type="dxa"/>
            <w:tcBorders>
              <w:top w:val="nil"/>
              <w:left w:val="nil"/>
              <w:bottom w:val="nil"/>
              <w:right w:val="nil"/>
            </w:tcBorders>
          </w:tcPr>
          <w:p w:rsidR="002C0197" w:rsidRPr="00B20F11" w:rsidRDefault="002C0197" w:rsidP="008033B0">
            <w:pPr>
              <w:rPr>
                <w:color w:val="000000"/>
                <w:szCs w:val="24"/>
              </w:rPr>
            </w:pPr>
          </w:p>
        </w:tc>
        <w:tc>
          <w:tcPr>
            <w:tcW w:w="3316" w:type="dxa"/>
            <w:tcBorders>
              <w:top w:val="nil"/>
              <w:left w:val="nil"/>
              <w:bottom w:val="nil"/>
              <w:right w:val="nil"/>
            </w:tcBorders>
            <w:noWrap/>
            <w:vAlign w:val="bottom"/>
          </w:tcPr>
          <w:p w:rsidR="002C0197" w:rsidRPr="00B20F11" w:rsidRDefault="00952B56" w:rsidP="008033B0">
            <w:pPr>
              <w:rPr>
                <w:color w:val="000000"/>
                <w:szCs w:val="24"/>
              </w:rPr>
            </w:pPr>
            <w:r>
              <w:rPr>
                <w:color w:val="000000"/>
                <w:szCs w:val="24"/>
              </w:rPr>
              <w:t>0.264</w:t>
            </w:r>
            <w:r w:rsidR="002C0197">
              <w:rPr>
                <w:color w:val="000000"/>
                <w:szCs w:val="24"/>
              </w:rPr>
              <w:t xml:space="preserve"> cents per </w:t>
            </w:r>
            <w:proofErr w:type="gramStart"/>
            <w:r w:rsidR="002C0197">
              <w:rPr>
                <w:color w:val="000000"/>
                <w:szCs w:val="24"/>
              </w:rPr>
              <w:t xml:space="preserve">kWh </w:t>
            </w:r>
            <w:r>
              <w:rPr>
                <w:color w:val="000000"/>
                <w:szCs w:val="24"/>
              </w:rPr>
              <w:t xml:space="preserve"> (</w:t>
            </w:r>
            <w:proofErr w:type="gramEnd"/>
            <w:r>
              <w:rPr>
                <w:color w:val="000000"/>
                <w:szCs w:val="24"/>
              </w:rPr>
              <w:t>D)</w:t>
            </w:r>
          </w:p>
        </w:tc>
      </w:tr>
      <w:tr w:rsidR="002C0197" w:rsidRPr="00B20F11" w:rsidTr="008033B0">
        <w:trPr>
          <w:trHeight w:val="315"/>
        </w:trPr>
        <w:tc>
          <w:tcPr>
            <w:tcW w:w="3953" w:type="dxa"/>
            <w:tcBorders>
              <w:top w:val="nil"/>
              <w:left w:val="nil"/>
              <w:bottom w:val="nil"/>
              <w:right w:val="nil"/>
            </w:tcBorders>
            <w:noWrap/>
            <w:vAlign w:val="bottom"/>
          </w:tcPr>
          <w:p w:rsidR="002C0197" w:rsidRDefault="002C0197" w:rsidP="008033B0">
            <w:pPr>
              <w:rPr>
                <w:color w:val="000000"/>
                <w:szCs w:val="24"/>
              </w:rPr>
            </w:pPr>
            <w:r>
              <w:rPr>
                <w:color w:val="000000"/>
                <w:szCs w:val="24"/>
              </w:rPr>
              <w:t>Rate Schedule LED</w:t>
            </w:r>
          </w:p>
        </w:tc>
        <w:tc>
          <w:tcPr>
            <w:tcW w:w="1683" w:type="dxa"/>
            <w:tcBorders>
              <w:top w:val="nil"/>
              <w:left w:val="nil"/>
              <w:bottom w:val="nil"/>
              <w:right w:val="nil"/>
            </w:tcBorders>
          </w:tcPr>
          <w:p w:rsidR="002C0197" w:rsidRPr="00B20F11" w:rsidRDefault="002C0197" w:rsidP="008033B0">
            <w:pPr>
              <w:rPr>
                <w:color w:val="000000"/>
                <w:szCs w:val="24"/>
              </w:rPr>
            </w:pPr>
          </w:p>
        </w:tc>
        <w:tc>
          <w:tcPr>
            <w:tcW w:w="3316" w:type="dxa"/>
            <w:tcBorders>
              <w:top w:val="nil"/>
              <w:left w:val="nil"/>
              <w:bottom w:val="nil"/>
              <w:right w:val="nil"/>
            </w:tcBorders>
            <w:noWrap/>
            <w:vAlign w:val="bottom"/>
          </w:tcPr>
          <w:p w:rsidR="002C0197" w:rsidRDefault="00952B56" w:rsidP="008033B0">
            <w:pPr>
              <w:rPr>
                <w:color w:val="000000"/>
                <w:szCs w:val="24"/>
              </w:rPr>
            </w:pPr>
            <w:r>
              <w:rPr>
                <w:color w:val="000000"/>
                <w:szCs w:val="24"/>
              </w:rPr>
              <w:t>0.264</w:t>
            </w:r>
            <w:r w:rsidR="002C0197">
              <w:rPr>
                <w:color w:val="000000"/>
                <w:szCs w:val="24"/>
              </w:rPr>
              <w:t xml:space="preserve"> cents per </w:t>
            </w:r>
            <w:proofErr w:type="gramStart"/>
            <w:r w:rsidR="002C0197">
              <w:rPr>
                <w:color w:val="000000"/>
                <w:szCs w:val="24"/>
              </w:rPr>
              <w:t>kWh</w:t>
            </w:r>
            <w:r>
              <w:rPr>
                <w:color w:val="000000"/>
                <w:szCs w:val="24"/>
              </w:rPr>
              <w:t xml:space="preserve">  (</w:t>
            </w:r>
            <w:proofErr w:type="gramEnd"/>
            <w:r>
              <w:rPr>
                <w:color w:val="000000"/>
                <w:szCs w:val="24"/>
              </w:rPr>
              <w:t>D)</w:t>
            </w:r>
          </w:p>
        </w:tc>
      </w:tr>
      <w:tr w:rsidR="002C0197" w:rsidRPr="00B20F11" w:rsidTr="008033B0">
        <w:trPr>
          <w:trHeight w:val="315"/>
        </w:trPr>
        <w:tc>
          <w:tcPr>
            <w:tcW w:w="3953" w:type="dxa"/>
            <w:tcBorders>
              <w:top w:val="nil"/>
              <w:left w:val="nil"/>
              <w:bottom w:val="nil"/>
              <w:right w:val="nil"/>
            </w:tcBorders>
            <w:noWrap/>
            <w:vAlign w:val="bottom"/>
          </w:tcPr>
          <w:p w:rsidR="002C0197" w:rsidRDefault="002C0197" w:rsidP="008033B0">
            <w:pPr>
              <w:rPr>
                <w:color w:val="000000"/>
                <w:szCs w:val="24"/>
              </w:rPr>
            </w:pPr>
            <w:r>
              <w:rPr>
                <w:color w:val="000000"/>
                <w:szCs w:val="24"/>
              </w:rPr>
              <w:t>Rate Schedule Street Lighting</w:t>
            </w:r>
          </w:p>
        </w:tc>
        <w:tc>
          <w:tcPr>
            <w:tcW w:w="1683" w:type="dxa"/>
            <w:tcBorders>
              <w:top w:val="nil"/>
              <w:left w:val="nil"/>
              <w:bottom w:val="nil"/>
              <w:right w:val="nil"/>
            </w:tcBorders>
          </w:tcPr>
          <w:p w:rsidR="002C0197" w:rsidRPr="00B20F11" w:rsidRDefault="002C0197" w:rsidP="008033B0">
            <w:pPr>
              <w:rPr>
                <w:color w:val="000000"/>
                <w:szCs w:val="24"/>
              </w:rPr>
            </w:pPr>
          </w:p>
        </w:tc>
        <w:tc>
          <w:tcPr>
            <w:tcW w:w="3316" w:type="dxa"/>
            <w:tcBorders>
              <w:top w:val="nil"/>
              <w:left w:val="nil"/>
              <w:bottom w:val="nil"/>
              <w:right w:val="nil"/>
            </w:tcBorders>
            <w:noWrap/>
            <w:vAlign w:val="bottom"/>
          </w:tcPr>
          <w:p w:rsidR="002C0197" w:rsidRDefault="00952B56" w:rsidP="008033B0">
            <w:pPr>
              <w:rPr>
                <w:color w:val="000000"/>
                <w:szCs w:val="24"/>
              </w:rPr>
            </w:pPr>
            <w:r>
              <w:rPr>
                <w:color w:val="000000"/>
                <w:szCs w:val="24"/>
              </w:rPr>
              <w:t>0.264</w:t>
            </w:r>
            <w:r w:rsidR="002C0197">
              <w:rPr>
                <w:color w:val="000000"/>
                <w:szCs w:val="24"/>
              </w:rPr>
              <w:t xml:space="preserve"> cents per </w:t>
            </w:r>
            <w:proofErr w:type="gramStart"/>
            <w:r w:rsidR="002C0197">
              <w:rPr>
                <w:color w:val="000000"/>
                <w:szCs w:val="24"/>
              </w:rPr>
              <w:t xml:space="preserve">kWh </w:t>
            </w:r>
            <w:r>
              <w:rPr>
                <w:color w:val="000000"/>
                <w:szCs w:val="24"/>
              </w:rPr>
              <w:t xml:space="preserve"> (</w:t>
            </w:r>
            <w:proofErr w:type="gramEnd"/>
            <w:r>
              <w:rPr>
                <w:color w:val="000000"/>
                <w:szCs w:val="24"/>
              </w:rPr>
              <w:t>D)</w:t>
            </w:r>
          </w:p>
        </w:tc>
      </w:tr>
      <w:tr w:rsidR="002C0197" w:rsidRPr="00B20F11" w:rsidTr="008033B0">
        <w:trPr>
          <w:trHeight w:val="315"/>
        </w:trPr>
        <w:tc>
          <w:tcPr>
            <w:tcW w:w="3953" w:type="dxa"/>
            <w:tcBorders>
              <w:top w:val="nil"/>
              <w:left w:val="nil"/>
              <w:bottom w:val="nil"/>
              <w:right w:val="nil"/>
            </w:tcBorders>
            <w:noWrap/>
            <w:vAlign w:val="bottom"/>
          </w:tcPr>
          <w:p w:rsidR="002C0197" w:rsidRPr="00B20F11" w:rsidRDefault="002C0197" w:rsidP="008033B0">
            <w:pPr>
              <w:rPr>
                <w:color w:val="000000"/>
                <w:szCs w:val="24"/>
              </w:rPr>
            </w:pPr>
            <w:r>
              <w:rPr>
                <w:color w:val="000000"/>
                <w:szCs w:val="24"/>
              </w:rPr>
              <w:t>Rate Schedule Municipal Street Lighting</w:t>
            </w:r>
          </w:p>
        </w:tc>
        <w:tc>
          <w:tcPr>
            <w:tcW w:w="1683" w:type="dxa"/>
            <w:tcBorders>
              <w:top w:val="nil"/>
              <w:left w:val="nil"/>
              <w:bottom w:val="nil"/>
              <w:right w:val="nil"/>
            </w:tcBorders>
          </w:tcPr>
          <w:p w:rsidR="002C0197" w:rsidRPr="00B20F11" w:rsidRDefault="002C0197" w:rsidP="008033B0">
            <w:pPr>
              <w:rPr>
                <w:color w:val="000000"/>
                <w:szCs w:val="24"/>
              </w:rPr>
            </w:pPr>
          </w:p>
        </w:tc>
        <w:tc>
          <w:tcPr>
            <w:tcW w:w="3316" w:type="dxa"/>
            <w:tcBorders>
              <w:top w:val="nil"/>
              <w:left w:val="nil"/>
              <w:bottom w:val="nil"/>
              <w:right w:val="nil"/>
            </w:tcBorders>
            <w:noWrap/>
            <w:vAlign w:val="bottom"/>
          </w:tcPr>
          <w:p w:rsidR="002C0197" w:rsidRDefault="002C0197" w:rsidP="008033B0">
            <w:pPr>
              <w:rPr>
                <w:color w:val="000000"/>
                <w:szCs w:val="24"/>
              </w:rPr>
            </w:pPr>
          </w:p>
          <w:p w:rsidR="002C0197" w:rsidRPr="00B20F11" w:rsidRDefault="00952B56" w:rsidP="008033B0">
            <w:pPr>
              <w:rPr>
                <w:color w:val="000000"/>
                <w:szCs w:val="24"/>
              </w:rPr>
            </w:pPr>
            <w:r>
              <w:rPr>
                <w:color w:val="000000"/>
                <w:szCs w:val="24"/>
              </w:rPr>
              <w:t>0.264</w:t>
            </w:r>
            <w:r w:rsidR="002C0197">
              <w:rPr>
                <w:color w:val="000000"/>
                <w:szCs w:val="24"/>
              </w:rPr>
              <w:t xml:space="preserve"> cents per kWh</w:t>
            </w:r>
            <w:proofErr w:type="gramStart"/>
            <w:r w:rsidR="002C0197">
              <w:rPr>
                <w:color w:val="000000"/>
                <w:szCs w:val="24"/>
              </w:rPr>
              <w:t xml:space="preserve"> </w:t>
            </w:r>
            <w:r>
              <w:rPr>
                <w:color w:val="000000"/>
                <w:szCs w:val="24"/>
              </w:rPr>
              <w:t xml:space="preserve">  (</w:t>
            </w:r>
            <w:proofErr w:type="gramEnd"/>
            <w:r>
              <w:rPr>
                <w:color w:val="000000"/>
                <w:szCs w:val="24"/>
              </w:rPr>
              <w:t>D)</w:t>
            </w:r>
          </w:p>
        </w:tc>
      </w:tr>
      <w:tr w:rsidR="002C0197" w:rsidRPr="00B20F11" w:rsidTr="008033B0">
        <w:trPr>
          <w:trHeight w:val="315"/>
        </w:trPr>
        <w:tc>
          <w:tcPr>
            <w:tcW w:w="3953" w:type="dxa"/>
            <w:tcBorders>
              <w:top w:val="nil"/>
              <w:left w:val="nil"/>
              <w:bottom w:val="nil"/>
              <w:right w:val="nil"/>
            </w:tcBorders>
            <w:noWrap/>
            <w:vAlign w:val="bottom"/>
          </w:tcPr>
          <w:p w:rsidR="002C0197" w:rsidRDefault="002C0197" w:rsidP="008033B0">
            <w:pPr>
              <w:rPr>
                <w:color w:val="000000"/>
                <w:szCs w:val="24"/>
              </w:rPr>
            </w:pPr>
            <w:r>
              <w:rPr>
                <w:color w:val="000000"/>
                <w:szCs w:val="24"/>
              </w:rPr>
              <w:t>Rate Schedule OAL</w:t>
            </w:r>
          </w:p>
        </w:tc>
        <w:tc>
          <w:tcPr>
            <w:tcW w:w="1683" w:type="dxa"/>
            <w:tcBorders>
              <w:top w:val="nil"/>
              <w:left w:val="nil"/>
              <w:bottom w:val="nil"/>
              <w:right w:val="nil"/>
            </w:tcBorders>
          </w:tcPr>
          <w:p w:rsidR="002C0197" w:rsidRPr="00B20F11" w:rsidRDefault="002C0197" w:rsidP="008033B0">
            <w:pPr>
              <w:rPr>
                <w:color w:val="000000"/>
                <w:szCs w:val="24"/>
              </w:rPr>
            </w:pPr>
          </w:p>
        </w:tc>
        <w:tc>
          <w:tcPr>
            <w:tcW w:w="3316" w:type="dxa"/>
            <w:tcBorders>
              <w:top w:val="nil"/>
              <w:left w:val="nil"/>
              <w:bottom w:val="nil"/>
              <w:right w:val="nil"/>
            </w:tcBorders>
            <w:noWrap/>
            <w:vAlign w:val="bottom"/>
          </w:tcPr>
          <w:p w:rsidR="002C0197" w:rsidRDefault="00952B56" w:rsidP="008033B0">
            <w:pPr>
              <w:rPr>
                <w:color w:val="000000"/>
                <w:szCs w:val="24"/>
              </w:rPr>
            </w:pPr>
            <w:r>
              <w:rPr>
                <w:color w:val="000000"/>
                <w:szCs w:val="24"/>
              </w:rPr>
              <w:t>0.264</w:t>
            </w:r>
            <w:r w:rsidR="002C0197">
              <w:rPr>
                <w:color w:val="000000"/>
                <w:szCs w:val="24"/>
              </w:rPr>
              <w:t xml:space="preserve"> cents per kWh</w:t>
            </w:r>
            <w:proofErr w:type="gramStart"/>
            <w:r w:rsidR="002C0197">
              <w:rPr>
                <w:color w:val="000000"/>
                <w:szCs w:val="24"/>
              </w:rPr>
              <w:t xml:space="preserve"> </w:t>
            </w:r>
            <w:r>
              <w:rPr>
                <w:color w:val="000000"/>
                <w:szCs w:val="24"/>
              </w:rPr>
              <w:t xml:space="preserve">  (</w:t>
            </w:r>
            <w:proofErr w:type="gramEnd"/>
            <w:r>
              <w:rPr>
                <w:color w:val="000000"/>
                <w:szCs w:val="24"/>
              </w:rPr>
              <w:t>D)</w:t>
            </w:r>
          </w:p>
        </w:tc>
      </w:tr>
      <w:tr w:rsidR="002C0197" w:rsidRPr="00B20F11" w:rsidTr="008033B0">
        <w:trPr>
          <w:trHeight w:val="315"/>
        </w:trPr>
        <w:tc>
          <w:tcPr>
            <w:tcW w:w="3953" w:type="dxa"/>
            <w:tcBorders>
              <w:top w:val="nil"/>
              <w:left w:val="nil"/>
              <w:bottom w:val="nil"/>
              <w:right w:val="nil"/>
            </w:tcBorders>
            <w:noWrap/>
            <w:vAlign w:val="bottom"/>
          </w:tcPr>
          <w:p w:rsidR="002C0197" w:rsidRPr="00B20F11" w:rsidRDefault="002C0197" w:rsidP="008033B0">
            <w:pPr>
              <w:rPr>
                <w:color w:val="000000"/>
                <w:szCs w:val="24"/>
              </w:rPr>
            </w:pPr>
            <w:r w:rsidRPr="00B20F11">
              <w:rPr>
                <w:color w:val="000000"/>
                <w:szCs w:val="24"/>
              </w:rPr>
              <w:t>Rate Schedule GS – Large</w:t>
            </w:r>
          </w:p>
        </w:tc>
        <w:tc>
          <w:tcPr>
            <w:tcW w:w="1683" w:type="dxa"/>
            <w:tcBorders>
              <w:top w:val="nil"/>
              <w:left w:val="nil"/>
              <w:bottom w:val="nil"/>
              <w:right w:val="nil"/>
            </w:tcBorders>
          </w:tcPr>
          <w:p w:rsidR="002C0197" w:rsidRPr="00B20F11" w:rsidRDefault="002C0197" w:rsidP="008033B0">
            <w:pPr>
              <w:rPr>
                <w:color w:val="000000"/>
                <w:szCs w:val="24"/>
              </w:rPr>
            </w:pPr>
          </w:p>
        </w:tc>
        <w:tc>
          <w:tcPr>
            <w:tcW w:w="3316" w:type="dxa"/>
            <w:tcBorders>
              <w:top w:val="nil"/>
              <w:left w:val="nil"/>
              <w:bottom w:val="nil"/>
              <w:right w:val="nil"/>
            </w:tcBorders>
            <w:noWrap/>
            <w:vAlign w:val="bottom"/>
          </w:tcPr>
          <w:p w:rsidR="002C0197" w:rsidRPr="00B20F11" w:rsidRDefault="002C0197" w:rsidP="008033B0">
            <w:pPr>
              <w:rPr>
                <w:color w:val="000000"/>
                <w:szCs w:val="24"/>
              </w:rPr>
            </w:pPr>
            <w:r>
              <w:rPr>
                <w:color w:val="000000"/>
                <w:szCs w:val="24"/>
              </w:rPr>
              <w:t xml:space="preserve">$ </w:t>
            </w:r>
            <w:r w:rsidR="00952B56">
              <w:rPr>
                <w:color w:val="000000"/>
                <w:szCs w:val="24"/>
              </w:rPr>
              <w:t>0.953</w:t>
            </w:r>
            <w:r>
              <w:rPr>
                <w:color w:val="000000"/>
                <w:szCs w:val="24"/>
              </w:rPr>
              <w:t xml:space="preserve"> per kW NSPL </w:t>
            </w:r>
            <w:r w:rsidR="00952B56">
              <w:rPr>
                <w:color w:val="000000"/>
                <w:szCs w:val="24"/>
              </w:rPr>
              <w:t>(D)</w:t>
            </w:r>
          </w:p>
        </w:tc>
      </w:tr>
      <w:tr w:rsidR="002C0197" w:rsidRPr="00B20F11" w:rsidTr="008033B0">
        <w:trPr>
          <w:trHeight w:val="315"/>
        </w:trPr>
        <w:tc>
          <w:tcPr>
            <w:tcW w:w="3953" w:type="dxa"/>
            <w:tcBorders>
              <w:top w:val="nil"/>
              <w:left w:val="nil"/>
              <w:bottom w:val="nil"/>
              <w:right w:val="nil"/>
            </w:tcBorders>
            <w:noWrap/>
            <w:vAlign w:val="bottom"/>
          </w:tcPr>
          <w:p w:rsidR="002C0197" w:rsidRPr="00B20F11" w:rsidRDefault="002C0197" w:rsidP="008033B0">
            <w:pPr>
              <w:rPr>
                <w:color w:val="000000"/>
                <w:szCs w:val="24"/>
              </w:rPr>
            </w:pPr>
            <w:r w:rsidRPr="00B20F11">
              <w:rPr>
                <w:color w:val="000000"/>
                <w:szCs w:val="24"/>
              </w:rPr>
              <w:t>Rate Schedule GP</w:t>
            </w:r>
          </w:p>
        </w:tc>
        <w:tc>
          <w:tcPr>
            <w:tcW w:w="1683" w:type="dxa"/>
            <w:tcBorders>
              <w:top w:val="nil"/>
              <w:left w:val="nil"/>
              <w:bottom w:val="nil"/>
              <w:right w:val="nil"/>
            </w:tcBorders>
          </w:tcPr>
          <w:p w:rsidR="002C0197" w:rsidRPr="00B20F11" w:rsidRDefault="002C0197" w:rsidP="008033B0">
            <w:pPr>
              <w:rPr>
                <w:color w:val="000000"/>
                <w:szCs w:val="24"/>
              </w:rPr>
            </w:pPr>
          </w:p>
        </w:tc>
        <w:tc>
          <w:tcPr>
            <w:tcW w:w="3316" w:type="dxa"/>
            <w:tcBorders>
              <w:top w:val="nil"/>
              <w:left w:val="nil"/>
              <w:bottom w:val="nil"/>
              <w:right w:val="nil"/>
            </w:tcBorders>
            <w:noWrap/>
            <w:vAlign w:val="bottom"/>
          </w:tcPr>
          <w:p w:rsidR="002C0197" w:rsidRPr="00B20F11" w:rsidRDefault="002C0197" w:rsidP="008033B0">
            <w:pPr>
              <w:rPr>
                <w:color w:val="000000"/>
                <w:szCs w:val="24"/>
              </w:rPr>
            </w:pPr>
            <w:r>
              <w:rPr>
                <w:color w:val="000000"/>
                <w:szCs w:val="24"/>
              </w:rPr>
              <w:t xml:space="preserve">$ </w:t>
            </w:r>
            <w:r w:rsidR="00952B56">
              <w:rPr>
                <w:color w:val="000000"/>
                <w:szCs w:val="24"/>
              </w:rPr>
              <w:t>0.953</w:t>
            </w:r>
            <w:r>
              <w:rPr>
                <w:color w:val="000000"/>
                <w:szCs w:val="24"/>
              </w:rPr>
              <w:t xml:space="preserve"> per kW NSPL </w:t>
            </w:r>
            <w:r w:rsidR="00952B56">
              <w:rPr>
                <w:color w:val="000000"/>
                <w:szCs w:val="24"/>
              </w:rPr>
              <w:t>(D)</w:t>
            </w:r>
          </w:p>
        </w:tc>
      </w:tr>
      <w:tr w:rsidR="002C0197" w:rsidRPr="00B20F11" w:rsidTr="008033B0">
        <w:trPr>
          <w:trHeight w:val="315"/>
        </w:trPr>
        <w:tc>
          <w:tcPr>
            <w:tcW w:w="3953" w:type="dxa"/>
            <w:tcBorders>
              <w:top w:val="nil"/>
              <w:left w:val="nil"/>
              <w:bottom w:val="nil"/>
              <w:right w:val="nil"/>
            </w:tcBorders>
            <w:noWrap/>
            <w:vAlign w:val="bottom"/>
          </w:tcPr>
          <w:p w:rsidR="002C0197" w:rsidRPr="00B20F11" w:rsidRDefault="002C0197" w:rsidP="008033B0">
            <w:pPr>
              <w:rPr>
                <w:color w:val="000000"/>
                <w:szCs w:val="24"/>
              </w:rPr>
            </w:pPr>
            <w:r w:rsidRPr="00B20F11">
              <w:rPr>
                <w:color w:val="000000"/>
                <w:szCs w:val="24"/>
              </w:rPr>
              <w:t xml:space="preserve">Rate Schedule </w:t>
            </w:r>
            <w:r>
              <w:rPr>
                <w:color w:val="000000"/>
                <w:szCs w:val="24"/>
              </w:rPr>
              <w:t>L</w:t>
            </w:r>
            <w:r w:rsidRPr="00B20F11">
              <w:rPr>
                <w:color w:val="000000"/>
                <w:szCs w:val="24"/>
              </w:rPr>
              <w:t>P</w:t>
            </w:r>
          </w:p>
        </w:tc>
        <w:tc>
          <w:tcPr>
            <w:tcW w:w="1683" w:type="dxa"/>
            <w:tcBorders>
              <w:top w:val="nil"/>
              <w:left w:val="nil"/>
              <w:bottom w:val="nil"/>
              <w:right w:val="nil"/>
            </w:tcBorders>
          </w:tcPr>
          <w:p w:rsidR="002C0197" w:rsidRPr="00B20F11" w:rsidRDefault="002C0197" w:rsidP="008033B0">
            <w:pPr>
              <w:rPr>
                <w:color w:val="000000"/>
                <w:szCs w:val="24"/>
              </w:rPr>
            </w:pPr>
          </w:p>
        </w:tc>
        <w:tc>
          <w:tcPr>
            <w:tcW w:w="3316" w:type="dxa"/>
            <w:tcBorders>
              <w:top w:val="nil"/>
              <w:left w:val="nil"/>
              <w:bottom w:val="nil"/>
              <w:right w:val="nil"/>
            </w:tcBorders>
            <w:noWrap/>
            <w:vAlign w:val="bottom"/>
          </w:tcPr>
          <w:p w:rsidR="002C0197" w:rsidRPr="00B20F11" w:rsidRDefault="002C0197" w:rsidP="008033B0">
            <w:pPr>
              <w:rPr>
                <w:color w:val="000000"/>
                <w:szCs w:val="24"/>
              </w:rPr>
            </w:pPr>
            <w:r>
              <w:rPr>
                <w:color w:val="000000"/>
                <w:szCs w:val="24"/>
              </w:rPr>
              <w:t xml:space="preserve">$ </w:t>
            </w:r>
            <w:r w:rsidR="00952B56">
              <w:rPr>
                <w:color w:val="000000"/>
                <w:szCs w:val="24"/>
              </w:rPr>
              <w:t>0.953</w:t>
            </w:r>
            <w:r>
              <w:rPr>
                <w:color w:val="000000"/>
                <w:szCs w:val="24"/>
              </w:rPr>
              <w:t xml:space="preserve"> per kW NSPL </w:t>
            </w:r>
            <w:r w:rsidR="00952B56">
              <w:rPr>
                <w:color w:val="000000"/>
                <w:szCs w:val="24"/>
              </w:rPr>
              <w:t>(D)</w:t>
            </w:r>
          </w:p>
        </w:tc>
      </w:tr>
    </w:tbl>
    <w:p w:rsidR="002C0197" w:rsidRDefault="002C0197" w:rsidP="002C0197">
      <w:pPr>
        <w:rPr>
          <w:szCs w:val="24"/>
        </w:rPr>
      </w:pPr>
    </w:p>
    <w:p w:rsidR="002C0197" w:rsidRDefault="002C0197" w:rsidP="002C0197">
      <w:pPr>
        <w:rPr>
          <w:szCs w:val="24"/>
        </w:rPr>
      </w:pPr>
    </w:p>
    <w:p w:rsidR="002C0197" w:rsidRDefault="002C0197" w:rsidP="002C0197">
      <w:pPr>
        <w:rPr>
          <w:szCs w:val="24"/>
        </w:rPr>
      </w:pPr>
    </w:p>
    <w:p w:rsidR="002C0197" w:rsidRDefault="002C0197" w:rsidP="002C0197">
      <w:pPr>
        <w:tabs>
          <w:tab w:val="left" w:pos="4230"/>
        </w:tabs>
        <w:jc w:val="center"/>
        <w:rPr>
          <w:szCs w:val="24"/>
        </w:rPr>
      </w:pPr>
    </w:p>
    <w:p w:rsidR="002C0197" w:rsidRDefault="002C0197" w:rsidP="002C0197">
      <w:pPr>
        <w:tabs>
          <w:tab w:val="left" w:pos="4230"/>
        </w:tabs>
        <w:jc w:val="center"/>
        <w:rPr>
          <w:szCs w:val="24"/>
        </w:rPr>
      </w:pPr>
    </w:p>
    <w:p w:rsidR="002C0197" w:rsidRDefault="002C0197" w:rsidP="002C0197">
      <w:pPr>
        <w:tabs>
          <w:tab w:val="left" w:pos="4230"/>
        </w:tabs>
        <w:jc w:val="center"/>
        <w:rPr>
          <w:szCs w:val="24"/>
        </w:rPr>
      </w:pPr>
    </w:p>
    <w:p w:rsidR="00952B56" w:rsidRDefault="00952B56" w:rsidP="002C0197">
      <w:pPr>
        <w:jc w:val="center"/>
        <w:rPr>
          <w:szCs w:val="24"/>
        </w:rPr>
        <w:sectPr w:rsidR="00952B56">
          <w:headerReference w:type="default" r:id="rId16"/>
          <w:endnotePr>
            <w:numFmt w:val="decimal"/>
          </w:endnotePr>
          <w:pgSz w:w="12240" w:h="15840"/>
          <w:pgMar w:top="720" w:right="1440" w:bottom="720" w:left="1440" w:header="720" w:footer="720" w:gutter="0"/>
          <w:cols w:space="720"/>
          <w:noEndnote/>
        </w:sectPr>
      </w:pPr>
      <w:r>
        <w:rPr>
          <w:szCs w:val="24"/>
        </w:rPr>
        <w:t xml:space="preserve">  (D) Decrease</w:t>
      </w:r>
    </w:p>
    <w:p w:rsidR="002C0197" w:rsidRPr="00E83C21" w:rsidRDefault="002C0197" w:rsidP="002C0197">
      <w:pPr>
        <w:tabs>
          <w:tab w:val="left" w:pos="720"/>
          <w:tab w:val="left" w:pos="9720"/>
        </w:tabs>
        <w:rPr>
          <w:szCs w:val="24"/>
        </w:rPr>
      </w:pPr>
      <w:r w:rsidRPr="00E83C21">
        <w:rPr>
          <w:szCs w:val="24"/>
        </w:rPr>
        <w:t>Rider J (continued)</w:t>
      </w:r>
    </w:p>
    <w:p w:rsidR="002C0197" w:rsidRPr="00B20F11" w:rsidRDefault="002C0197" w:rsidP="002C0197">
      <w:pPr>
        <w:rPr>
          <w:szCs w:val="24"/>
        </w:rPr>
      </w:pPr>
    </w:p>
    <w:p w:rsidR="002C0197" w:rsidRDefault="002C0197" w:rsidP="002C0197">
      <w:pPr>
        <w:ind w:right="-720"/>
        <w:rPr>
          <w:szCs w:val="24"/>
        </w:rPr>
      </w:pPr>
      <w:r w:rsidRPr="00B20F11">
        <w:rPr>
          <w:szCs w:val="24"/>
        </w:rPr>
        <w:t xml:space="preserve">The DSS rates by rate schedule shall be calculated annually in accordance with the formula set </w:t>
      </w:r>
    </w:p>
    <w:p w:rsidR="002C0197" w:rsidRPr="00B20F11" w:rsidRDefault="002C0197" w:rsidP="002C0197">
      <w:pPr>
        <w:ind w:right="-720"/>
        <w:rPr>
          <w:szCs w:val="24"/>
        </w:rPr>
      </w:pPr>
      <w:r w:rsidRPr="00B20F11">
        <w:rPr>
          <w:szCs w:val="24"/>
        </w:rPr>
        <w:t>forth below:</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(C)</w:t>
      </w:r>
    </w:p>
    <w:p w:rsidR="002C0197" w:rsidRPr="00B20F11" w:rsidRDefault="002C0197" w:rsidP="002C0197">
      <w:pPr>
        <w:tabs>
          <w:tab w:val="center" w:pos="4680"/>
          <w:tab w:val="left" w:pos="9720"/>
        </w:tabs>
        <w:rPr>
          <w:szCs w:val="24"/>
        </w:rPr>
      </w:pPr>
      <w:r w:rsidRPr="00B20F11">
        <w:rPr>
          <w:szCs w:val="24"/>
        </w:rPr>
        <w:tab/>
        <w:t>DSS rate = [UE + NMB + RE + CEC] X [1 / (1-T)]</w:t>
      </w:r>
    </w:p>
    <w:p w:rsidR="002C0197" w:rsidRPr="00B20F11" w:rsidRDefault="002C0197" w:rsidP="002C0197">
      <w:pPr>
        <w:tabs>
          <w:tab w:val="center" w:pos="4680"/>
          <w:tab w:val="left" w:pos="9720"/>
        </w:tabs>
        <w:rPr>
          <w:szCs w:val="24"/>
        </w:rPr>
      </w:pPr>
    </w:p>
    <w:p w:rsidR="002C0197" w:rsidRPr="00B20F11" w:rsidRDefault="002C0197" w:rsidP="002C0197">
      <w:pPr>
        <w:rPr>
          <w:szCs w:val="24"/>
        </w:rPr>
      </w:pPr>
      <w:r w:rsidRPr="00B20F11">
        <w:rPr>
          <w:szCs w:val="24"/>
        </w:rPr>
        <w:t>The components of the formula are defined below:</w:t>
      </w:r>
    </w:p>
    <w:p w:rsidR="002C0197" w:rsidRPr="00B20F11" w:rsidRDefault="002C0197" w:rsidP="002C0197">
      <w:pPr>
        <w:rPr>
          <w:szCs w:val="24"/>
        </w:rPr>
      </w:pPr>
    </w:p>
    <w:p w:rsidR="002C0197" w:rsidRPr="00B20F11" w:rsidRDefault="002C0197" w:rsidP="002C0197">
      <w:pPr>
        <w:rPr>
          <w:szCs w:val="24"/>
          <w:u w:val="single"/>
        </w:rPr>
      </w:pPr>
      <w:r w:rsidRPr="00B20F11">
        <w:rPr>
          <w:szCs w:val="24"/>
          <w:u w:val="single"/>
        </w:rPr>
        <w:t xml:space="preserve">Default Service Related </w:t>
      </w:r>
      <w:proofErr w:type="spellStart"/>
      <w:r w:rsidRPr="00B20F11">
        <w:rPr>
          <w:szCs w:val="24"/>
          <w:u w:val="single"/>
        </w:rPr>
        <w:t>Uncollectibles</w:t>
      </w:r>
      <w:proofErr w:type="spellEnd"/>
    </w:p>
    <w:p w:rsidR="002C0197" w:rsidRPr="00B20F11" w:rsidRDefault="002C0197" w:rsidP="002C0197">
      <w:pPr>
        <w:rPr>
          <w:szCs w:val="24"/>
        </w:rPr>
      </w:pPr>
    </w:p>
    <w:p w:rsidR="002C0197" w:rsidRDefault="002C0197" w:rsidP="002C0197">
      <w:pPr>
        <w:widowControl/>
        <w:ind w:left="720" w:right="-540"/>
        <w:rPr>
          <w:szCs w:val="24"/>
        </w:rPr>
      </w:pPr>
      <w:r w:rsidRPr="00B20F11">
        <w:rPr>
          <w:szCs w:val="24"/>
        </w:rPr>
        <w:t xml:space="preserve">UE = A default service-related unbundled uncollectible accounts expense charge, </w:t>
      </w:r>
    </w:p>
    <w:p w:rsidR="002C0197" w:rsidRDefault="002C0197" w:rsidP="002C0197">
      <w:pPr>
        <w:widowControl/>
        <w:ind w:left="720" w:right="-540"/>
        <w:rPr>
          <w:szCs w:val="24"/>
        </w:rPr>
      </w:pPr>
      <w:r w:rsidRPr="00B20F11">
        <w:rPr>
          <w:szCs w:val="24"/>
        </w:rPr>
        <w:t xml:space="preserve">determined by Customer Class and stated to the nearest one-thousandth of a cent per kWh </w:t>
      </w:r>
    </w:p>
    <w:p w:rsidR="002C0197" w:rsidRDefault="002C0197" w:rsidP="002C0197">
      <w:pPr>
        <w:widowControl/>
        <w:ind w:left="720" w:right="-540"/>
        <w:rPr>
          <w:szCs w:val="24"/>
        </w:rPr>
      </w:pPr>
      <w:r w:rsidRPr="00B20F11">
        <w:rPr>
          <w:szCs w:val="24"/>
        </w:rPr>
        <w:t xml:space="preserve">to be applied to DSS Sales delivered by the Company to residential and commercial </w:t>
      </w:r>
    </w:p>
    <w:p w:rsidR="002C0197" w:rsidRDefault="002C0197" w:rsidP="002C0197">
      <w:pPr>
        <w:widowControl/>
        <w:ind w:left="720" w:right="-540"/>
        <w:rPr>
          <w:szCs w:val="24"/>
        </w:rPr>
      </w:pPr>
      <w:r w:rsidRPr="00B20F11">
        <w:rPr>
          <w:szCs w:val="24"/>
        </w:rPr>
        <w:t xml:space="preserve">Delivery Service Customers under this rider.  The UE reflects the default service-related portion of the uncollectible account expense based on revenues in the Company’s </w:t>
      </w:r>
      <w:r>
        <w:rPr>
          <w:szCs w:val="24"/>
        </w:rPr>
        <w:t xml:space="preserve">                </w:t>
      </w:r>
      <w:r w:rsidRPr="00B20F11">
        <w:rPr>
          <w:szCs w:val="24"/>
        </w:rPr>
        <w:t xml:space="preserve">distribution base rate case and the additional uncollectible accounts expense incurred by </w:t>
      </w:r>
    </w:p>
    <w:p w:rsidR="002C0197" w:rsidRDefault="002C0197" w:rsidP="002C0197">
      <w:pPr>
        <w:widowControl/>
        <w:ind w:left="720" w:right="-540"/>
        <w:rPr>
          <w:szCs w:val="24"/>
        </w:rPr>
      </w:pPr>
      <w:r w:rsidRPr="00B20F11">
        <w:rPr>
          <w:szCs w:val="24"/>
        </w:rPr>
        <w:t xml:space="preserve">the Company </w:t>
      </w:r>
      <w:proofErr w:type="gramStart"/>
      <w:r w:rsidRPr="00B20F11">
        <w:rPr>
          <w:szCs w:val="24"/>
        </w:rPr>
        <w:t>as a result of</w:t>
      </w:r>
      <w:proofErr w:type="gramEnd"/>
      <w:r w:rsidRPr="00B20F11">
        <w:rPr>
          <w:szCs w:val="24"/>
        </w:rPr>
        <w:t xml:space="preserve"> providing Default Service under this tariff.  This component </w:t>
      </w:r>
    </w:p>
    <w:p w:rsidR="002C0197" w:rsidRPr="00B20F11" w:rsidRDefault="002C0197" w:rsidP="002C0197">
      <w:pPr>
        <w:widowControl/>
        <w:ind w:left="720" w:right="-540"/>
        <w:rPr>
          <w:szCs w:val="24"/>
        </w:rPr>
      </w:pPr>
      <w:r w:rsidRPr="00B20F11">
        <w:rPr>
          <w:szCs w:val="24"/>
        </w:rPr>
        <w:t>of the DSS rate in this non-</w:t>
      </w:r>
      <w:proofErr w:type="spellStart"/>
      <w:r w:rsidRPr="00B20F11">
        <w:rPr>
          <w:szCs w:val="24"/>
        </w:rPr>
        <w:t>bypassable</w:t>
      </w:r>
      <w:proofErr w:type="spellEnd"/>
      <w:r w:rsidRPr="00B20F11">
        <w:rPr>
          <w:szCs w:val="24"/>
        </w:rPr>
        <w:t xml:space="preserve"> rider is non-reconcilable.</w:t>
      </w:r>
    </w:p>
    <w:p w:rsidR="002C0197" w:rsidRPr="00B20F11" w:rsidRDefault="002C0197" w:rsidP="002C0197">
      <w:pPr>
        <w:ind w:left="810" w:hanging="810"/>
        <w:rPr>
          <w:szCs w:val="24"/>
        </w:rPr>
      </w:pPr>
    </w:p>
    <w:p w:rsidR="002C0197" w:rsidRPr="00B20F11" w:rsidRDefault="002C0197" w:rsidP="002C0197">
      <w:pPr>
        <w:tabs>
          <w:tab w:val="left" w:pos="9720"/>
        </w:tabs>
        <w:ind w:left="720"/>
        <w:rPr>
          <w:szCs w:val="24"/>
        </w:rPr>
      </w:pPr>
      <w:r w:rsidRPr="00B20F11">
        <w:rPr>
          <w:szCs w:val="24"/>
        </w:rPr>
        <w:t>The unbundled uncollectible accounts expense associated with Default Service and a purchase of receivables program allocated to Delivery Service Customers on a non-</w:t>
      </w:r>
      <w:proofErr w:type="spellStart"/>
      <w:r w:rsidRPr="00B20F11">
        <w:rPr>
          <w:szCs w:val="24"/>
        </w:rPr>
        <w:t>bypassable</w:t>
      </w:r>
      <w:proofErr w:type="spellEnd"/>
      <w:r w:rsidRPr="00B20F11">
        <w:rPr>
          <w:szCs w:val="24"/>
        </w:rPr>
        <w:t>, non-reconcilable basis will be Customer Class specific and will be adjusted annually on June 1 of each year based on the projected price of Default Service.  Adjustments, if necessary, will be made to the uncollectible percentage in a future distribution base rate case or the start of the next Default Service Program, whichever occurs earlier.</w:t>
      </w:r>
    </w:p>
    <w:p w:rsidR="002C0197" w:rsidRDefault="002C0197" w:rsidP="002C0197">
      <w:pPr>
        <w:tabs>
          <w:tab w:val="left" w:pos="1395"/>
        </w:tabs>
        <w:rPr>
          <w:szCs w:val="24"/>
        </w:rPr>
      </w:pPr>
    </w:p>
    <w:p w:rsidR="002C0197" w:rsidRDefault="002C0197" w:rsidP="002C0197">
      <w:pPr>
        <w:tabs>
          <w:tab w:val="left" w:pos="1395"/>
        </w:tabs>
        <w:jc w:val="center"/>
        <w:rPr>
          <w:szCs w:val="24"/>
        </w:rPr>
      </w:pPr>
    </w:p>
    <w:p w:rsidR="002C0197" w:rsidRDefault="002C0197" w:rsidP="002C0197">
      <w:pPr>
        <w:tabs>
          <w:tab w:val="left" w:pos="1395"/>
        </w:tabs>
        <w:jc w:val="center"/>
        <w:rPr>
          <w:szCs w:val="24"/>
        </w:rPr>
      </w:pPr>
    </w:p>
    <w:p w:rsidR="002C0197" w:rsidRDefault="002C0197" w:rsidP="002C0197">
      <w:pPr>
        <w:tabs>
          <w:tab w:val="left" w:pos="1395"/>
        </w:tabs>
        <w:jc w:val="center"/>
        <w:rPr>
          <w:szCs w:val="24"/>
        </w:rPr>
      </w:pPr>
    </w:p>
    <w:p w:rsidR="002C0197" w:rsidRDefault="002C0197" w:rsidP="002C0197">
      <w:pPr>
        <w:tabs>
          <w:tab w:val="left" w:pos="1395"/>
        </w:tabs>
        <w:jc w:val="center"/>
        <w:rPr>
          <w:szCs w:val="24"/>
        </w:rPr>
      </w:pPr>
    </w:p>
    <w:p w:rsidR="002C0197" w:rsidRDefault="002C0197" w:rsidP="002C0197">
      <w:pPr>
        <w:tabs>
          <w:tab w:val="left" w:pos="1395"/>
        </w:tabs>
        <w:jc w:val="center"/>
        <w:rPr>
          <w:szCs w:val="24"/>
        </w:rPr>
      </w:pPr>
    </w:p>
    <w:p w:rsidR="002C0197" w:rsidRDefault="002C0197" w:rsidP="002C0197">
      <w:pPr>
        <w:tabs>
          <w:tab w:val="left" w:pos="1395"/>
        </w:tabs>
        <w:jc w:val="center"/>
        <w:rPr>
          <w:szCs w:val="24"/>
        </w:rPr>
      </w:pPr>
    </w:p>
    <w:p w:rsidR="002C0197" w:rsidRDefault="002C0197" w:rsidP="002C0197">
      <w:pPr>
        <w:tabs>
          <w:tab w:val="left" w:pos="1395"/>
        </w:tabs>
        <w:jc w:val="center"/>
        <w:rPr>
          <w:szCs w:val="24"/>
        </w:rPr>
      </w:pPr>
    </w:p>
    <w:p w:rsidR="002C0197" w:rsidRDefault="002C0197" w:rsidP="002C0197">
      <w:pPr>
        <w:tabs>
          <w:tab w:val="left" w:pos="1395"/>
        </w:tabs>
        <w:jc w:val="center"/>
        <w:rPr>
          <w:szCs w:val="24"/>
        </w:rPr>
      </w:pPr>
    </w:p>
    <w:p w:rsidR="002C0197" w:rsidRDefault="002C0197" w:rsidP="002C0197">
      <w:pPr>
        <w:tabs>
          <w:tab w:val="left" w:pos="1395"/>
        </w:tabs>
        <w:jc w:val="center"/>
        <w:rPr>
          <w:szCs w:val="24"/>
        </w:rPr>
      </w:pPr>
    </w:p>
    <w:p w:rsidR="002C0197" w:rsidRDefault="002C0197" w:rsidP="002C0197">
      <w:pPr>
        <w:tabs>
          <w:tab w:val="left" w:pos="1395"/>
        </w:tabs>
        <w:jc w:val="center"/>
        <w:rPr>
          <w:szCs w:val="24"/>
        </w:rPr>
      </w:pPr>
    </w:p>
    <w:p w:rsidR="002C0197" w:rsidRDefault="002C0197" w:rsidP="002C0197">
      <w:pPr>
        <w:tabs>
          <w:tab w:val="left" w:pos="1395"/>
        </w:tabs>
        <w:jc w:val="center"/>
        <w:rPr>
          <w:szCs w:val="24"/>
        </w:rPr>
      </w:pPr>
    </w:p>
    <w:p w:rsidR="002C0197" w:rsidRDefault="002C0197" w:rsidP="002C0197">
      <w:pPr>
        <w:tabs>
          <w:tab w:val="left" w:pos="1395"/>
        </w:tabs>
        <w:jc w:val="center"/>
        <w:rPr>
          <w:szCs w:val="24"/>
        </w:rPr>
      </w:pPr>
    </w:p>
    <w:p w:rsidR="002C0197" w:rsidRDefault="002C0197" w:rsidP="002C0197">
      <w:pPr>
        <w:tabs>
          <w:tab w:val="left" w:pos="510"/>
          <w:tab w:val="center" w:pos="4680"/>
        </w:tabs>
        <w:jc w:val="center"/>
        <w:rPr>
          <w:szCs w:val="24"/>
        </w:rPr>
      </w:pPr>
      <w:r>
        <w:rPr>
          <w:szCs w:val="24"/>
        </w:rPr>
        <w:t>(C) Change</w:t>
      </w:r>
    </w:p>
    <w:p w:rsidR="002C0197" w:rsidRDefault="002C0197" w:rsidP="002C0197">
      <w:pPr>
        <w:rPr>
          <w:szCs w:val="24"/>
        </w:rPr>
        <w:sectPr w:rsidR="002C0197">
          <w:headerReference w:type="default" r:id="rId17"/>
          <w:endnotePr>
            <w:numFmt w:val="decimal"/>
          </w:endnotePr>
          <w:pgSz w:w="12240" w:h="15840"/>
          <w:pgMar w:top="720" w:right="1440" w:bottom="720" w:left="1440" w:header="720" w:footer="720" w:gutter="0"/>
          <w:cols w:space="720"/>
          <w:noEndnote/>
        </w:sectPr>
      </w:pPr>
    </w:p>
    <w:p w:rsidR="002C0197" w:rsidRDefault="002C0197" w:rsidP="002C0197">
      <w:pPr>
        <w:rPr>
          <w:szCs w:val="24"/>
        </w:rPr>
      </w:pPr>
    </w:p>
    <w:p w:rsidR="002C0197" w:rsidRPr="00B20F11" w:rsidRDefault="002C0197" w:rsidP="002C0197">
      <w:pPr>
        <w:ind w:left="1080" w:hanging="1080"/>
        <w:rPr>
          <w:szCs w:val="24"/>
        </w:rPr>
      </w:pPr>
      <w:r w:rsidRPr="00B20F11">
        <w:rPr>
          <w:szCs w:val="24"/>
        </w:rPr>
        <w:t xml:space="preserve">Rider </w:t>
      </w:r>
      <w:r>
        <w:rPr>
          <w:szCs w:val="24"/>
        </w:rPr>
        <w:t>J</w:t>
      </w:r>
      <w:r w:rsidRPr="00B20F11">
        <w:rPr>
          <w:szCs w:val="24"/>
        </w:rPr>
        <w:t xml:space="preserve"> (continued)</w:t>
      </w:r>
    </w:p>
    <w:p w:rsidR="002C0197" w:rsidRPr="00B20F11" w:rsidRDefault="002C0197" w:rsidP="002C0197">
      <w:pPr>
        <w:tabs>
          <w:tab w:val="left" w:pos="9720"/>
        </w:tabs>
        <w:ind w:left="720"/>
        <w:rPr>
          <w:szCs w:val="24"/>
        </w:rPr>
      </w:pPr>
    </w:p>
    <w:p w:rsidR="002C0197" w:rsidRPr="00B20F11" w:rsidRDefault="002C0197" w:rsidP="002C0197">
      <w:pPr>
        <w:widowControl/>
        <w:tabs>
          <w:tab w:val="left" w:pos="0"/>
          <w:tab w:val="left" w:pos="720"/>
          <w:tab w:val="left" w:pos="1440"/>
          <w:tab w:val="left" w:pos="2160"/>
          <w:tab w:val="left" w:pos="3484"/>
        </w:tabs>
        <w:spacing w:after="45"/>
        <w:ind w:left="810" w:right="108"/>
        <w:rPr>
          <w:szCs w:val="24"/>
        </w:rPr>
      </w:pPr>
      <w:r w:rsidRPr="00B20F11">
        <w:rPr>
          <w:szCs w:val="24"/>
        </w:rPr>
        <w:t>The UE charges by Customer Class to be included in DSS rates are as follows:</w:t>
      </w:r>
    </w:p>
    <w:p w:rsidR="002C0197" w:rsidRPr="00B20F11" w:rsidRDefault="002C0197" w:rsidP="002C0197">
      <w:pPr>
        <w:widowControl/>
        <w:tabs>
          <w:tab w:val="left" w:pos="0"/>
          <w:tab w:val="left" w:pos="720"/>
          <w:tab w:val="left" w:pos="1440"/>
          <w:tab w:val="left" w:pos="2160"/>
          <w:tab w:val="left" w:pos="3484"/>
        </w:tabs>
        <w:spacing w:after="45"/>
        <w:ind w:left="810" w:right="108"/>
        <w:rPr>
          <w:szCs w:val="24"/>
        </w:rPr>
      </w:pPr>
    </w:p>
    <w:p w:rsidR="002C0197" w:rsidRPr="00B20F11" w:rsidRDefault="002C0197" w:rsidP="002C0197">
      <w:pPr>
        <w:widowControl/>
        <w:tabs>
          <w:tab w:val="left" w:pos="-270"/>
          <w:tab w:val="left" w:pos="0"/>
          <w:tab w:val="left" w:pos="270"/>
          <w:tab w:val="left" w:pos="630"/>
          <w:tab w:val="left" w:pos="990"/>
          <w:tab w:val="left" w:pos="2790"/>
          <w:tab w:val="left" w:pos="8190"/>
          <w:tab w:val="left" w:pos="8910"/>
        </w:tabs>
        <w:ind w:left="1170"/>
      </w:pPr>
      <w:r w:rsidRPr="00B20F11">
        <w:rPr>
          <w:u w:val="single"/>
        </w:rPr>
        <w:t xml:space="preserve">Commercial Customer Class (Rate GS-Small, Rate GS-Medium, Rate </w:t>
      </w:r>
      <w:r>
        <w:rPr>
          <w:u w:val="single"/>
        </w:rPr>
        <w:t>H</w:t>
      </w:r>
      <w:r w:rsidRPr="00B20F11">
        <w:rPr>
          <w:u w:val="single"/>
        </w:rPr>
        <w:t>, Borderline Service, Street Lighting Service, Ornamental Street Lighting</w:t>
      </w:r>
      <w:r>
        <w:rPr>
          <w:u w:val="single"/>
        </w:rPr>
        <w:t xml:space="preserve">, LED Street Lighting Service, </w:t>
      </w:r>
      <w:r w:rsidRPr="00B20F11">
        <w:rPr>
          <w:u w:val="single"/>
        </w:rPr>
        <w:t>and Outdoor Lighting Service)</w:t>
      </w:r>
      <w:r w:rsidRPr="00B20F11">
        <w:t>:</w:t>
      </w:r>
    </w:p>
    <w:p w:rsidR="002C0197" w:rsidRPr="00B20F11" w:rsidRDefault="002C0197" w:rsidP="002C0197">
      <w:pPr>
        <w:widowControl/>
        <w:tabs>
          <w:tab w:val="left" w:pos="-270"/>
          <w:tab w:val="left" w:pos="0"/>
          <w:tab w:val="left" w:pos="270"/>
          <w:tab w:val="left" w:pos="630"/>
          <w:tab w:val="left" w:pos="990"/>
          <w:tab w:val="left" w:pos="2790"/>
          <w:tab w:val="left" w:pos="8190"/>
          <w:tab w:val="left" w:pos="9360"/>
        </w:tabs>
        <w:ind w:left="720"/>
      </w:pPr>
      <w:r w:rsidRPr="00B20F11">
        <w:tab/>
      </w:r>
      <w:r w:rsidRPr="00B20F11">
        <w:tab/>
      </w:r>
      <w:r w:rsidRPr="00B20F11">
        <w:tab/>
      </w:r>
      <w:r w:rsidRPr="00B20F11">
        <w:tab/>
      </w:r>
    </w:p>
    <w:p w:rsidR="002C0197" w:rsidRPr="00B20F11" w:rsidRDefault="002C0197" w:rsidP="002C0197">
      <w:pPr>
        <w:tabs>
          <w:tab w:val="left" w:pos="2880"/>
          <w:tab w:val="left" w:pos="9270"/>
        </w:tabs>
        <w:ind w:left="2160" w:right="-540"/>
        <w:rPr>
          <w:szCs w:val="24"/>
        </w:rPr>
      </w:pPr>
      <w:r w:rsidRPr="00B20F11">
        <w:rPr>
          <w:szCs w:val="24"/>
        </w:rPr>
        <w:tab/>
      </w:r>
      <w:r>
        <w:rPr>
          <w:szCs w:val="24"/>
        </w:rPr>
        <w:t>0.011</w:t>
      </w:r>
      <w:r w:rsidRPr="00B20F11">
        <w:rPr>
          <w:szCs w:val="24"/>
        </w:rPr>
        <w:t xml:space="preserve"> cents per kWh</w:t>
      </w:r>
      <w:r>
        <w:rPr>
          <w:szCs w:val="24"/>
        </w:rPr>
        <w:tab/>
      </w:r>
      <w:r>
        <w:rPr>
          <w:szCs w:val="24"/>
        </w:rPr>
        <w:tab/>
      </w:r>
    </w:p>
    <w:p w:rsidR="002C0197" w:rsidRPr="00B20F11" w:rsidRDefault="002C0197" w:rsidP="002C0197">
      <w:pPr>
        <w:ind w:left="1440" w:firstLine="720"/>
        <w:rPr>
          <w:szCs w:val="24"/>
        </w:rPr>
      </w:pPr>
    </w:p>
    <w:p w:rsidR="002C0197" w:rsidRPr="00B20F11" w:rsidRDefault="002C0197" w:rsidP="002C0197">
      <w:pPr>
        <w:ind w:left="1170"/>
        <w:rPr>
          <w:szCs w:val="24"/>
        </w:rPr>
      </w:pPr>
      <w:r w:rsidRPr="00B20F11">
        <w:rPr>
          <w:szCs w:val="24"/>
          <w:u w:val="single"/>
        </w:rPr>
        <w:t>Residential Customer Class (Rate RS, Rate GS – Volunteer Fire Company, Non-Profit Ambulance Service, Rescue Squad and Senior Center Service Rate)</w:t>
      </w:r>
      <w:r w:rsidRPr="00B20F11">
        <w:rPr>
          <w:szCs w:val="24"/>
        </w:rPr>
        <w:t xml:space="preserve">:  </w:t>
      </w:r>
    </w:p>
    <w:p w:rsidR="002C0197" w:rsidRPr="00B20F11" w:rsidRDefault="002C0197" w:rsidP="002C0197">
      <w:pPr>
        <w:tabs>
          <w:tab w:val="left" w:pos="9360"/>
        </w:tabs>
        <w:ind w:left="2160"/>
        <w:rPr>
          <w:szCs w:val="24"/>
        </w:rPr>
      </w:pPr>
      <w:r w:rsidRPr="00B20F11">
        <w:rPr>
          <w:szCs w:val="24"/>
        </w:rPr>
        <w:tab/>
      </w:r>
    </w:p>
    <w:p w:rsidR="002C0197" w:rsidRPr="00B20F11" w:rsidRDefault="002C0197" w:rsidP="002C0197">
      <w:pPr>
        <w:tabs>
          <w:tab w:val="left" w:pos="2880"/>
          <w:tab w:val="left" w:pos="8910"/>
        </w:tabs>
        <w:ind w:left="2160" w:right="-540" w:firstLine="720"/>
        <w:rPr>
          <w:szCs w:val="24"/>
        </w:rPr>
      </w:pPr>
      <w:r>
        <w:rPr>
          <w:szCs w:val="24"/>
        </w:rPr>
        <w:t>0.248</w:t>
      </w:r>
      <w:r w:rsidRPr="00B20F11">
        <w:rPr>
          <w:szCs w:val="24"/>
        </w:rPr>
        <w:t xml:space="preserve"> cents per kWh</w:t>
      </w:r>
      <w:r>
        <w:rPr>
          <w:szCs w:val="24"/>
        </w:rPr>
        <w:tab/>
      </w:r>
      <w:r>
        <w:rPr>
          <w:szCs w:val="24"/>
        </w:rPr>
        <w:tab/>
      </w:r>
    </w:p>
    <w:p w:rsidR="002C0197" w:rsidRPr="00B20F11" w:rsidRDefault="002C0197" w:rsidP="002C0197">
      <w:pPr>
        <w:ind w:right="-72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(C)</w:t>
      </w: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Default="002C0197" w:rsidP="002C0197">
      <w:pPr>
        <w:tabs>
          <w:tab w:val="left" w:pos="900"/>
          <w:tab w:val="left" w:pos="9720"/>
        </w:tabs>
        <w:ind w:left="900" w:hanging="900"/>
        <w:rPr>
          <w:szCs w:val="24"/>
        </w:rPr>
      </w:pPr>
    </w:p>
    <w:p w:rsidR="002C0197" w:rsidRPr="002C0197" w:rsidRDefault="002C0197" w:rsidP="002C0197">
      <w:pPr>
        <w:jc w:val="center"/>
        <w:rPr>
          <w:szCs w:val="24"/>
        </w:rPr>
        <w:sectPr w:rsidR="002C0197" w:rsidRPr="002C0197">
          <w:headerReference w:type="default" r:id="rId18"/>
          <w:endnotePr>
            <w:numFmt w:val="decimal"/>
          </w:endnotePr>
          <w:pgSz w:w="12240" w:h="15840"/>
          <w:pgMar w:top="720" w:right="1440" w:bottom="720" w:left="1440" w:header="720" w:footer="720" w:gutter="0"/>
          <w:cols w:space="720"/>
          <w:noEndnote/>
        </w:sectPr>
      </w:pPr>
      <w:r>
        <w:rPr>
          <w:szCs w:val="24"/>
        </w:rPr>
        <w:t>(C) Change</w:t>
      </w:r>
    </w:p>
    <w:p w:rsidR="002C0197" w:rsidRDefault="002C0197" w:rsidP="002C0197">
      <w:pPr>
        <w:jc w:val="center"/>
        <w:rPr>
          <w:szCs w:val="24"/>
        </w:rPr>
      </w:pPr>
    </w:p>
    <w:p w:rsidR="002C0197" w:rsidRDefault="002C0197" w:rsidP="002C0197">
      <w:pPr>
        <w:rPr>
          <w:szCs w:val="24"/>
        </w:rPr>
      </w:pPr>
      <w:r w:rsidRPr="00B20F11">
        <w:rPr>
          <w:szCs w:val="24"/>
        </w:rPr>
        <w:t xml:space="preserve">Rider </w:t>
      </w:r>
      <w:r>
        <w:rPr>
          <w:szCs w:val="24"/>
        </w:rPr>
        <w:t>J</w:t>
      </w:r>
      <w:r w:rsidRPr="00B20F11">
        <w:rPr>
          <w:szCs w:val="24"/>
        </w:rPr>
        <w:t xml:space="preserve"> (continued)</w:t>
      </w:r>
    </w:p>
    <w:p w:rsidR="002C0197" w:rsidRPr="00B20F11" w:rsidRDefault="002C0197" w:rsidP="002C0197">
      <w:pPr>
        <w:tabs>
          <w:tab w:val="left" w:pos="9360"/>
        </w:tabs>
        <w:ind w:right="-540"/>
        <w:rPr>
          <w:szCs w:val="24"/>
        </w:rPr>
      </w:pPr>
      <w:r>
        <w:rPr>
          <w:szCs w:val="24"/>
        </w:rPr>
        <w:tab/>
        <w:t>(C)</w:t>
      </w:r>
    </w:p>
    <w:p w:rsidR="002C0197" w:rsidRPr="00B20F11" w:rsidRDefault="002C0197" w:rsidP="002C0197">
      <w:pPr>
        <w:tabs>
          <w:tab w:val="left" w:pos="810"/>
        </w:tabs>
        <w:ind w:left="900" w:hanging="900"/>
        <w:rPr>
          <w:szCs w:val="24"/>
        </w:rPr>
      </w:pPr>
    </w:p>
    <w:p w:rsidR="002C0197" w:rsidRPr="00B20F11" w:rsidRDefault="002C0197" w:rsidP="002C0197">
      <w:pPr>
        <w:widowControl/>
        <w:tabs>
          <w:tab w:val="left" w:pos="0"/>
          <w:tab w:val="left" w:pos="720"/>
          <w:tab w:val="left" w:pos="1440"/>
          <w:tab w:val="left" w:pos="2160"/>
          <w:tab w:val="left" w:pos="9720"/>
        </w:tabs>
        <w:spacing w:after="45"/>
        <w:ind w:right="108"/>
        <w:rPr>
          <w:b/>
          <w:szCs w:val="24"/>
          <w:u w:val="single"/>
        </w:rPr>
      </w:pPr>
      <w:r w:rsidRPr="00B20F11">
        <w:rPr>
          <w:b/>
          <w:szCs w:val="24"/>
          <w:u w:val="single"/>
        </w:rPr>
        <w:t>Non-Market Based Services Transmission Charges</w:t>
      </w:r>
    </w:p>
    <w:p w:rsidR="002C0197" w:rsidRPr="00B20F11" w:rsidRDefault="002C0197" w:rsidP="002C0197">
      <w:pPr>
        <w:widowControl/>
        <w:tabs>
          <w:tab w:val="left" w:pos="0"/>
          <w:tab w:val="left" w:pos="720"/>
          <w:tab w:val="left" w:pos="1440"/>
          <w:tab w:val="left" w:pos="2160"/>
          <w:tab w:val="left" w:pos="3484"/>
        </w:tabs>
        <w:spacing w:after="45" w:line="120" w:lineRule="auto"/>
        <w:ind w:right="115" w:firstLine="86"/>
        <w:rPr>
          <w:szCs w:val="24"/>
        </w:rPr>
      </w:pPr>
    </w:p>
    <w:p w:rsidR="002C0197" w:rsidRPr="00B20F11" w:rsidRDefault="002C0197" w:rsidP="002C0197">
      <w:pPr>
        <w:tabs>
          <w:tab w:val="center" w:pos="4680"/>
          <w:tab w:val="left" w:pos="9720"/>
        </w:tabs>
        <w:rPr>
          <w:szCs w:val="24"/>
        </w:rPr>
      </w:pPr>
      <w:r w:rsidRPr="00B20F11">
        <w:rPr>
          <w:szCs w:val="24"/>
        </w:rPr>
        <w:tab/>
        <w:t>NMB = (NMB</w:t>
      </w:r>
      <w:r w:rsidRPr="00B20F11">
        <w:rPr>
          <w:szCs w:val="24"/>
          <w:vertAlign w:val="subscript"/>
        </w:rPr>
        <w:t>C</w:t>
      </w:r>
      <w:r w:rsidRPr="00B20F11">
        <w:rPr>
          <w:szCs w:val="24"/>
        </w:rPr>
        <w:t xml:space="preserve"> – E) / S</w:t>
      </w:r>
    </w:p>
    <w:p w:rsidR="002C0197" w:rsidRPr="00B20F11" w:rsidRDefault="002C0197" w:rsidP="002C0197">
      <w:pPr>
        <w:spacing w:line="120" w:lineRule="auto"/>
        <w:rPr>
          <w:szCs w:val="24"/>
        </w:rPr>
      </w:pPr>
    </w:p>
    <w:p w:rsidR="002C0197" w:rsidRPr="00B20F11" w:rsidRDefault="002C0197" w:rsidP="002C0197">
      <w:pPr>
        <w:rPr>
          <w:szCs w:val="24"/>
        </w:rPr>
      </w:pPr>
      <w:r w:rsidRPr="00B20F11">
        <w:rPr>
          <w:szCs w:val="24"/>
        </w:rPr>
        <w:t xml:space="preserve">Where: </w:t>
      </w:r>
    </w:p>
    <w:p w:rsidR="002C0197" w:rsidRPr="00B20F11" w:rsidRDefault="002C0197" w:rsidP="002C0197">
      <w:pPr>
        <w:spacing w:line="120" w:lineRule="auto"/>
        <w:rPr>
          <w:szCs w:val="24"/>
        </w:rPr>
      </w:pPr>
    </w:p>
    <w:p w:rsidR="002C0197" w:rsidRPr="00B20F11" w:rsidRDefault="002C0197" w:rsidP="002C0197">
      <w:pPr>
        <w:tabs>
          <w:tab w:val="left" w:pos="900"/>
          <w:tab w:val="left" w:pos="9720"/>
        </w:tabs>
        <w:ind w:left="900" w:hanging="990"/>
        <w:rPr>
          <w:sz w:val="22"/>
          <w:szCs w:val="22"/>
        </w:rPr>
      </w:pPr>
      <w:r w:rsidRPr="00B20F11">
        <w:rPr>
          <w:szCs w:val="24"/>
        </w:rPr>
        <w:t>NMB =</w:t>
      </w:r>
      <w:r w:rsidRPr="00B20F11">
        <w:rPr>
          <w:szCs w:val="24"/>
        </w:rPr>
        <w:tab/>
        <w:t>The charge to be applied to Delivery Service Customers served under this rider for Non-Market Based Services Transmission Charge costs incurred by the Company.</w:t>
      </w:r>
    </w:p>
    <w:p w:rsidR="002C0197" w:rsidRPr="00B20F11" w:rsidRDefault="002C0197" w:rsidP="002C0197">
      <w:pPr>
        <w:tabs>
          <w:tab w:val="left" w:pos="9450"/>
        </w:tabs>
        <w:ind w:left="2160" w:right="-90" w:hanging="2160"/>
        <w:rPr>
          <w:szCs w:val="24"/>
        </w:rPr>
      </w:pPr>
      <w:r>
        <w:rPr>
          <w:szCs w:val="24"/>
        </w:rPr>
        <w:tab/>
      </w:r>
    </w:p>
    <w:p w:rsidR="002C0197" w:rsidRDefault="002C0197" w:rsidP="002C0197">
      <w:pPr>
        <w:tabs>
          <w:tab w:val="left" w:pos="900"/>
          <w:tab w:val="left" w:pos="9720"/>
        </w:tabs>
        <w:ind w:left="900" w:hanging="990"/>
        <w:rPr>
          <w:szCs w:val="24"/>
        </w:rPr>
      </w:pPr>
      <w:r w:rsidRPr="00B20F11">
        <w:rPr>
          <w:szCs w:val="24"/>
        </w:rPr>
        <w:t>NMB</w:t>
      </w:r>
      <w:r w:rsidRPr="00B20F11">
        <w:rPr>
          <w:szCs w:val="24"/>
          <w:vertAlign w:val="subscript"/>
        </w:rPr>
        <w:t>C</w:t>
      </w:r>
      <w:r w:rsidRPr="00B20F11">
        <w:rPr>
          <w:szCs w:val="24"/>
        </w:rPr>
        <w:t xml:space="preserve"> =</w:t>
      </w:r>
      <w:r w:rsidRPr="00B20F11">
        <w:rPr>
          <w:szCs w:val="24"/>
        </w:rPr>
        <w:tab/>
        <w:t xml:space="preserve">Forecasted NMB costs applicable to the Company’s DSS Sales.  Forecasted NMB costs shall include FERC approved costs for </w:t>
      </w:r>
      <w:r>
        <w:rPr>
          <w:szCs w:val="24"/>
        </w:rPr>
        <w:t xml:space="preserve">(i) </w:t>
      </w:r>
      <w:r w:rsidRPr="004E388A">
        <w:rPr>
          <w:szCs w:val="24"/>
        </w:rPr>
        <w:t>PJM Regional Transmission E</w:t>
      </w:r>
      <w:r>
        <w:rPr>
          <w:szCs w:val="24"/>
        </w:rPr>
        <w:t xml:space="preserve">xpansion </w:t>
      </w:r>
      <w:r w:rsidRPr="004E388A">
        <w:rPr>
          <w:szCs w:val="24"/>
        </w:rPr>
        <w:t>Plan charges</w:t>
      </w:r>
      <w:r>
        <w:rPr>
          <w:szCs w:val="24"/>
        </w:rPr>
        <w:t>; (ii)</w:t>
      </w:r>
      <w:r w:rsidRPr="004E388A">
        <w:rPr>
          <w:szCs w:val="24"/>
        </w:rPr>
        <w:t xml:space="preserve"> PJM Expansion Cost Recovery</w:t>
      </w:r>
      <w:r>
        <w:rPr>
          <w:szCs w:val="24"/>
        </w:rPr>
        <w:t xml:space="preserve">; (iii) PJM charges for Reliability Must Run generating unit declarations and charges associated with plants deactivated after July 24, 2014, the approval date of the Company’s Default Service Program at Docket No. P-2013-2391372; (iv) historical tie line, generation, and retail customer meter adjustments; (v) Unaccounted for Energy; and (vi) </w:t>
      </w:r>
      <w:r w:rsidRPr="004E388A">
        <w:rPr>
          <w:szCs w:val="24"/>
        </w:rPr>
        <w:t>any other FERC-approved PJM transmission charges billed to the Company by PJM that will not be reconciled through the Company’s Price To Compare Default Service Rate Rider and/or Hourly Pricing Default Service Rider and are approved by the Commission for recovery under this rider.  Forecasted NMB costs are allocated to each Customer Class based upon each Customer Class’s contribution to the total Company Network Service Peak Load</w:t>
      </w:r>
    </w:p>
    <w:p w:rsidR="002C0197" w:rsidRPr="00B20F11" w:rsidRDefault="002C0197" w:rsidP="002C0197">
      <w:pPr>
        <w:tabs>
          <w:tab w:val="left" w:pos="9360"/>
        </w:tabs>
        <w:ind w:left="990" w:right="-540" w:hanging="990"/>
        <w:rPr>
          <w:szCs w:val="24"/>
        </w:rPr>
      </w:pPr>
      <w:r>
        <w:rPr>
          <w:szCs w:val="24"/>
        </w:rPr>
        <w:tab/>
      </w:r>
      <w:r>
        <w:rPr>
          <w:szCs w:val="24"/>
        </w:rPr>
        <w:tab/>
      </w:r>
    </w:p>
    <w:p w:rsidR="002C0197" w:rsidRDefault="002C0197" w:rsidP="002C0197">
      <w:pPr>
        <w:tabs>
          <w:tab w:val="left" w:pos="810"/>
          <w:tab w:val="left" w:pos="9720"/>
        </w:tabs>
        <w:ind w:left="810" w:hanging="810"/>
        <w:rPr>
          <w:szCs w:val="24"/>
        </w:rPr>
      </w:pPr>
      <w:r w:rsidRPr="00B20F11">
        <w:rPr>
          <w:szCs w:val="24"/>
        </w:rPr>
        <w:t xml:space="preserve">E = </w:t>
      </w:r>
      <w:r w:rsidRPr="00B20F11">
        <w:rPr>
          <w:szCs w:val="24"/>
        </w:rPr>
        <w:tab/>
        <w:t>The over or under-collection of the NMB</w:t>
      </w:r>
      <w:r w:rsidRPr="00B20F11">
        <w:rPr>
          <w:szCs w:val="24"/>
          <w:vertAlign w:val="subscript"/>
        </w:rPr>
        <w:t>C</w:t>
      </w:r>
      <w:r w:rsidRPr="00B20F11">
        <w:rPr>
          <w:szCs w:val="24"/>
        </w:rPr>
        <w:t xml:space="preserve"> that results from billing of the NMB during the DSS Reconciliation Year, including applicable interest.  An over-collection is denoted by a positive E and an under-collection by a negative E.  </w:t>
      </w:r>
      <w:r w:rsidRPr="007125A7">
        <w:rPr>
          <w:szCs w:val="24"/>
        </w:rPr>
        <w:t xml:space="preserve">Interest shall be computed monthly </w:t>
      </w:r>
      <w:r>
        <w:rPr>
          <w:szCs w:val="24"/>
        </w:rPr>
        <w:t xml:space="preserve">for the over or under collection at the prime rate of interest for commercial banking, not to exceed the legal rate of interest, in effect on the last day of the month the over and under collection occurs, as reported in the </w:t>
      </w:r>
      <w:r w:rsidRPr="00CB51A1">
        <w:rPr>
          <w:i/>
          <w:szCs w:val="24"/>
        </w:rPr>
        <w:t>Wall Street Journal</w:t>
      </w:r>
      <w:r>
        <w:rPr>
          <w:szCs w:val="24"/>
        </w:rPr>
        <w:t xml:space="preserve">, </w:t>
      </w:r>
    </w:p>
    <w:p w:rsidR="002C0197" w:rsidRPr="00B20F11" w:rsidRDefault="002C0197" w:rsidP="002C0197">
      <w:pPr>
        <w:tabs>
          <w:tab w:val="left" w:pos="810"/>
          <w:tab w:val="left" w:pos="9720"/>
        </w:tabs>
        <w:ind w:left="810" w:hanging="810"/>
        <w:rPr>
          <w:szCs w:val="24"/>
        </w:rPr>
      </w:pPr>
      <w:r>
        <w:rPr>
          <w:szCs w:val="24"/>
        </w:rPr>
        <w:tab/>
        <w:t>to the effective month that the over collection is refunded or the under collection is collected.</w:t>
      </w:r>
    </w:p>
    <w:p w:rsidR="002C0197" w:rsidRPr="00B20F11" w:rsidRDefault="002C0197" w:rsidP="002C0197">
      <w:pPr>
        <w:spacing w:line="120" w:lineRule="auto"/>
        <w:ind w:left="806" w:hanging="806"/>
        <w:rPr>
          <w:szCs w:val="24"/>
        </w:rPr>
      </w:pPr>
    </w:p>
    <w:p w:rsidR="0004317F" w:rsidRPr="00B20F11" w:rsidRDefault="002C0197" w:rsidP="0004317F">
      <w:pPr>
        <w:tabs>
          <w:tab w:val="left" w:pos="810"/>
        </w:tabs>
        <w:ind w:left="810" w:hanging="810"/>
        <w:rPr>
          <w:szCs w:val="24"/>
        </w:rPr>
      </w:pPr>
      <w:r w:rsidRPr="00B20F11">
        <w:t xml:space="preserve">S = </w:t>
      </w:r>
      <w:r w:rsidRPr="00B20F11">
        <w:tab/>
      </w:r>
      <w:r w:rsidR="0004317F" w:rsidRPr="00B20F11">
        <w:t>The Company’s total DSS Sales per Customer Class to Delivery Service Customers projected for the DSS Computational Year.</w:t>
      </w:r>
    </w:p>
    <w:p w:rsidR="002C0197" w:rsidRDefault="002C0197" w:rsidP="0004317F">
      <w:pPr>
        <w:tabs>
          <w:tab w:val="left" w:pos="900"/>
        </w:tabs>
        <w:ind w:left="900" w:hanging="900"/>
        <w:rPr>
          <w:szCs w:val="24"/>
        </w:rPr>
      </w:pPr>
    </w:p>
    <w:p w:rsidR="002C0197" w:rsidRDefault="002C0197" w:rsidP="002C0197">
      <w:pPr>
        <w:jc w:val="center"/>
        <w:rPr>
          <w:szCs w:val="24"/>
        </w:rPr>
      </w:pPr>
    </w:p>
    <w:p w:rsidR="002C0197" w:rsidRDefault="002C0197" w:rsidP="002C0197">
      <w:pPr>
        <w:jc w:val="center"/>
        <w:rPr>
          <w:szCs w:val="24"/>
        </w:rPr>
      </w:pPr>
    </w:p>
    <w:p w:rsidR="002C0197" w:rsidRDefault="002C0197" w:rsidP="002C0197">
      <w:pPr>
        <w:jc w:val="center"/>
        <w:rPr>
          <w:szCs w:val="24"/>
        </w:rPr>
      </w:pPr>
    </w:p>
    <w:p w:rsidR="002C0197" w:rsidRDefault="002C0197" w:rsidP="002C0197">
      <w:pPr>
        <w:jc w:val="center"/>
        <w:rPr>
          <w:szCs w:val="24"/>
        </w:rPr>
      </w:pPr>
    </w:p>
    <w:p w:rsidR="002C0197" w:rsidRDefault="002C0197" w:rsidP="002C0197">
      <w:pPr>
        <w:jc w:val="center"/>
        <w:rPr>
          <w:szCs w:val="24"/>
        </w:rPr>
      </w:pPr>
    </w:p>
    <w:p w:rsidR="002C0197" w:rsidRDefault="002C0197" w:rsidP="002C0197">
      <w:pPr>
        <w:jc w:val="center"/>
        <w:rPr>
          <w:szCs w:val="24"/>
        </w:rPr>
      </w:pPr>
    </w:p>
    <w:p w:rsidR="001A1D92" w:rsidRDefault="002C0197" w:rsidP="002C0197">
      <w:pPr>
        <w:jc w:val="center"/>
        <w:rPr>
          <w:szCs w:val="24"/>
        </w:rPr>
        <w:sectPr w:rsidR="001A1D92">
          <w:headerReference w:type="default" r:id="rId19"/>
          <w:endnotePr>
            <w:numFmt w:val="decimal"/>
          </w:endnotePr>
          <w:pgSz w:w="12240" w:h="15840"/>
          <w:pgMar w:top="720" w:right="1440" w:bottom="720" w:left="1440" w:header="720" w:footer="720" w:gutter="0"/>
          <w:cols w:space="720"/>
          <w:noEndnote/>
        </w:sectPr>
      </w:pPr>
      <w:r>
        <w:rPr>
          <w:szCs w:val="24"/>
        </w:rPr>
        <w:t>(C) Change</w:t>
      </w:r>
    </w:p>
    <w:p w:rsidR="002C0197" w:rsidRPr="00B20F11" w:rsidRDefault="002C0197" w:rsidP="002C0197">
      <w:pPr>
        <w:ind w:left="810" w:hanging="810"/>
        <w:rPr>
          <w:szCs w:val="24"/>
        </w:rPr>
      </w:pPr>
      <w:r w:rsidRPr="00B20F11">
        <w:rPr>
          <w:szCs w:val="24"/>
        </w:rPr>
        <w:t xml:space="preserve">Rider </w:t>
      </w:r>
      <w:r>
        <w:rPr>
          <w:szCs w:val="24"/>
        </w:rPr>
        <w:t>J</w:t>
      </w:r>
      <w:r w:rsidRPr="00B20F11">
        <w:rPr>
          <w:szCs w:val="24"/>
        </w:rPr>
        <w:t xml:space="preserve"> (continued)</w:t>
      </w:r>
    </w:p>
    <w:p w:rsidR="002C0197" w:rsidRPr="00B20F11" w:rsidRDefault="002C0197" w:rsidP="002C0197">
      <w:pPr>
        <w:tabs>
          <w:tab w:val="left" w:pos="9480"/>
        </w:tabs>
        <w:ind w:left="810" w:right="-120" w:hanging="90"/>
        <w:rPr>
          <w:szCs w:val="24"/>
        </w:rPr>
      </w:pPr>
    </w:p>
    <w:p w:rsidR="002C0197" w:rsidRDefault="002C0197" w:rsidP="00433EE9">
      <w:pPr>
        <w:ind w:right="-360"/>
        <w:jc w:val="center"/>
      </w:pPr>
      <w:r>
        <w:tab/>
      </w:r>
      <w:r>
        <w:tab/>
      </w:r>
      <w:r>
        <w:tab/>
      </w:r>
      <w:r>
        <w:tab/>
      </w:r>
      <w:r>
        <w:tab/>
      </w:r>
      <w:r>
        <w:tab/>
      </w:r>
      <w:r>
        <w:tab/>
      </w:r>
      <w:r>
        <w:tab/>
      </w:r>
      <w:r>
        <w:tab/>
      </w:r>
      <w:r>
        <w:tab/>
      </w:r>
      <w:r>
        <w:tab/>
      </w:r>
      <w:r>
        <w:tab/>
      </w:r>
      <w:r>
        <w:tab/>
        <w:t>(C)</w:t>
      </w:r>
    </w:p>
    <w:p w:rsidR="002C0197" w:rsidRPr="00A70CF5" w:rsidRDefault="002C0197" w:rsidP="002C0197">
      <w:pPr>
        <w:pStyle w:val="BodyText"/>
        <w:ind w:left="1271" w:hanging="360"/>
      </w:pPr>
      <w:r w:rsidRPr="00A70CF5">
        <w:rPr>
          <w:spacing w:val="-1"/>
        </w:rPr>
        <w:t>The NMB charges</w:t>
      </w:r>
      <w:r w:rsidRPr="00A70CF5">
        <w:t xml:space="preserve"> </w:t>
      </w:r>
      <w:r w:rsidRPr="00A70CF5">
        <w:rPr>
          <w:spacing w:val="2"/>
        </w:rPr>
        <w:t>by</w:t>
      </w:r>
      <w:r w:rsidRPr="00A70CF5">
        <w:rPr>
          <w:spacing w:val="-5"/>
        </w:rPr>
        <w:t xml:space="preserve"> </w:t>
      </w:r>
      <w:r w:rsidRPr="00A70CF5">
        <w:t>Customer</w:t>
      </w:r>
      <w:r w:rsidRPr="00A70CF5">
        <w:rPr>
          <w:spacing w:val="-1"/>
        </w:rPr>
        <w:t xml:space="preserve"> Class</w:t>
      </w:r>
      <w:r w:rsidRPr="00A70CF5">
        <w:t xml:space="preserve"> to be</w:t>
      </w:r>
      <w:r w:rsidRPr="00A70CF5">
        <w:rPr>
          <w:spacing w:val="-1"/>
        </w:rPr>
        <w:t xml:space="preserve"> </w:t>
      </w:r>
      <w:r w:rsidRPr="00A70CF5">
        <w:t xml:space="preserve">included in </w:t>
      </w:r>
      <w:r w:rsidRPr="00A70CF5">
        <w:rPr>
          <w:spacing w:val="-1"/>
        </w:rPr>
        <w:t>DSS</w:t>
      </w:r>
      <w:r w:rsidRPr="00A70CF5">
        <w:t xml:space="preserve"> </w:t>
      </w:r>
      <w:r w:rsidRPr="00A70CF5">
        <w:rPr>
          <w:spacing w:val="-1"/>
        </w:rPr>
        <w:t>rates</w:t>
      </w:r>
      <w:r w:rsidRPr="00A70CF5">
        <w:t xml:space="preserve"> </w:t>
      </w:r>
      <w:r w:rsidRPr="00A70CF5">
        <w:rPr>
          <w:spacing w:val="-1"/>
        </w:rPr>
        <w:t>are</w:t>
      </w:r>
      <w:r w:rsidRPr="00A70CF5">
        <w:rPr>
          <w:spacing w:val="1"/>
        </w:rPr>
        <w:t xml:space="preserve"> </w:t>
      </w:r>
      <w:r w:rsidRPr="00A70CF5">
        <w:rPr>
          <w:spacing w:val="-1"/>
        </w:rPr>
        <w:t>as</w:t>
      </w:r>
      <w:r w:rsidRPr="00A70CF5">
        <w:t xml:space="preserve"> </w:t>
      </w:r>
      <w:r w:rsidRPr="00A70CF5">
        <w:rPr>
          <w:spacing w:val="-1"/>
        </w:rPr>
        <w:t>follows:</w:t>
      </w:r>
    </w:p>
    <w:p w:rsidR="002C0197" w:rsidRPr="00A70CF5" w:rsidRDefault="002C0197" w:rsidP="002C0197">
      <w:pPr>
        <w:spacing w:before="8"/>
        <w:rPr>
          <w:szCs w:val="24"/>
        </w:rPr>
      </w:pPr>
    </w:p>
    <w:p w:rsidR="002C0197" w:rsidRPr="00A70CF5" w:rsidRDefault="002C0197" w:rsidP="002C0197">
      <w:pPr>
        <w:spacing w:before="8"/>
        <w:ind w:left="551" w:firstLine="720"/>
        <w:rPr>
          <w:spacing w:val="-1"/>
          <w:szCs w:val="24"/>
          <w:u w:val="single"/>
        </w:rPr>
      </w:pPr>
      <w:r w:rsidRPr="00A70CF5">
        <w:rPr>
          <w:spacing w:val="-1"/>
          <w:szCs w:val="24"/>
          <w:u w:val="single"/>
        </w:rPr>
        <w:t>Industrial Customer Class (Rate GS – Large, GP and Rate LP):</w:t>
      </w:r>
    </w:p>
    <w:p w:rsidR="002C0197" w:rsidRPr="00A70CF5" w:rsidRDefault="002C0197" w:rsidP="002C0197">
      <w:pPr>
        <w:spacing w:before="8"/>
        <w:ind w:left="551" w:firstLine="720"/>
        <w:rPr>
          <w:spacing w:val="-1"/>
          <w:szCs w:val="24"/>
          <w:u w:val="single"/>
        </w:rPr>
      </w:pPr>
    </w:p>
    <w:p w:rsidR="002C0197" w:rsidRPr="00A70CF5" w:rsidRDefault="002C0197" w:rsidP="00433EE9">
      <w:pPr>
        <w:pStyle w:val="BodyText"/>
        <w:spacing w:line="244" w:lineRule="exact"/>
        <w:ind w:left="1291" w:right="-720" w:firstLine="1708"/>
        <w:rPr>
          <w:szCs w:val="24"/>
        </w:rPr>
      </w:pPr>
      <w:r w:rsidRPr="00A70CF5">
        <w:t>$</w:t>
      </w:r>
      <w:r w:rsidR="00433EE9">
        <w:t>0.897</w:t>
      </w:r>
      <w:r w:rsidRPr="00A70CF5">
        <w:t xml:space="preserve"> </w:t>
      </w:r>
      <w:r w:rsidRPr="00A70CF5">
        <w:rPr>
          <w:spacing w:val="-1"/>
        </w:rPr>
        <w:t xml:space="preserve">per </w:t>
      </w:r>
      <w:r w:rsidRPr="00A70CF5">
        <w:t>kW</w:t>
      </w:r>
      <w:r w:rsidRPr="00A70CF5">
        <w:rPr>
          <w:spacing w:val="1"/>
        </w:rPr>
        <w:t xml:space="preserve"> </w:t>
      </w:r>
      <w:r w:rsidRPr="00A70CF5">
        <w:t>NSPL</w:t>
      </w:r>
      <w:r w:rsidR="00433EE9">
        <w:tab/>
      </w:r>
      <w:r w:rsidR="00433EE9">
        <w:tab/>
      </w:r>
      <w:r w:rsidR="00433EE9">
        <w:tab/>
      </w:r>
      <w:r w:rsidR="00433EE9">
        <w:tab/>
      </w:r>
      <w:r w:rsidR="00433EE9">
        <w:tab/>
      </w:r>
      <w:r w:rsidR="00433EE9">
        <w:tab/>
        <w:t>(D)</w:t>
      </w:r>
    </w:p>
    <w:p w:rsidR="002C0197" w:rsidRPr="00A70CF5" w:rsidRDefault="002C0197" w:rsidP="002C0197">
      <w:pPr>
        <w:spacing w:before="8"/>
        <w:ind w:left="551" w:firstLine="720"/>
        <w:rPr>
          <w:spacing w:val="-1"/>
          <w:szCs w:val="24"/>
          <w:u w:val="single"/>
        </w:rPr>
      </w:pPr>
    </w:p>
    <w:p w:rsidR="002C0197" w:rsidRPr="00A70CF5" w:rsidRDefault="002C0197" w:rsidP="002C0197">
      <w:pPr>
        <w:pStyle w:val="BodyText"/>
        <w:ind w:left="1271" w:right="403"/>
        <w:rPr>
          <w:szCs w:val="24"/>
        </w:rPr>
      </w:pPr>
      <w:r w:rsidRPr="00A70CF5">
        <w:rPr>
          <w:spacing w:val="-1"/>
          <w:u w:val="single"/>
        </w:rPr>
        <w:t>Commercial</w:t>
      </w:r>
      <w:r w:rsidRPr="00A70CF5">
        <w:rPr>
          <w:u w:val="single"/>
        </w:rPr>
        <w:t xml:space="preserve"> </w:t>
      </w:r>
      <w:r w:rsidRPr="00A70CF5">
        <w:rPr>
          <w:spacing w:val="-1"/>
          <w:u w:val="single"/>
        </w:rPr>
        <w:t>Customer Class</w:t>
      </w:r>
      <w:r w:rsidRPr="00A70CF5">
        <w:rPr>
          <w:u w:val="single"/>
        </w:rPr>
        <w:t xml:space="preserve"> </w:t>
      </w:r>
      <w:r w:rsidRPr="00A70CF5">
        <w:rPr>
          <w:spacing w:val="-1"/>
          <w:u w:val="single"/>
        </w:rPr>
        <w:t>(Rate</w:t>
      </w:r>
      <w:r w:rsidRPr="00A70CF5">
        <w:rPr>
          <w:spacing w:val="-2"/>
          <w:u w:val="single"/>
        </w:rPr>
        <w:t xml:space="preserve"> </w:t>
      </w:r>
      <w:r w:rsidRPr="00A70CF5">
        <w:rPr>
          <w:spacing w:val="-1"/>
          <w:u w:val="single"/>
        </w:rPr>
        <w:t>GS-Small, Rate</w:t>
      </w:r>
      <w:r w:rsidRPr="00A70CF5">
        <w:rPr>
          <w:spacing w:val="-2"/>
          <w:u w:val="single"/>
        </w:rPr>
        <w:t xml:space="preserve"> </w:t>
      </w:r>
      <w:r w:rsidRPr="00A70CF5">
        <w:rPr>
          <w:spacing w:val="-1"/>
          <w:u w:val="single"/>
        </w:rPr>
        <w:t>GS-Medium,</w:t>
      </w:r>
      <w:r w:rsidRPr="00A70CF5">
        <w:rPr>
          <w:u w:val="single"/>
        </w:rPr>
        <w:t xml:space="preserve"> </w:t>
      </w:r>
      <w:r w:rsidRPr="00A70CF5">
        <w:rPr>
          <w:spacing w:val="-1"/>
          <w:u w:val="single"/>
        </w:rPr>
        <w:t>Rate H,</w:t>
      </w:r>
      <w:r w:rsidRPr="00A70CF5">
        <w:rPr>
          <w:spacing w:val="2"/>
          <w:u w:val="single"/>
        </w:rPr>
        <w:t xml:space="preserve"> </w:t>
      </w:r>
      <w:r w:rsidRPr="00A70CF5">
        <w:rPr>
          <w:spacing w:val="-1"/>
          <w:u w:val="single"/>
        </w:rPr>
        <w:t>Borderline</w:t>
      </w:r>
      <w:r w:rsidRPr="002E287A">
        <w:rPr>
          <w:spacing w:val="95"/>
          <w:u w:val="single"/>
        </w:rPr>
        <w:t xml:space="preserve"> </w:t>
      </w:r>
      <w:r w:rsidRPr="00A70CF5">
        <w:rPr>
          <w:spacing w:val="-1"/>
          <w:u w:val="single"/>
        </w:rPr>
        <w:t>Service,</w:t>
      </w:r>
      <w:r w:rsidRPr="00A70CF5">
        <w:rPr>
          <w:u w:val="single"/>
        </w:rPr>
        <w:t xml:space="preserve"> </w:t>
      </w:r>
      <w:r w:rsidRPr="00A70CF5">
        <w:rPr>
          <w:spacing w:val="-1"/>
          <w:u w:val="single"/>
        </w:rPr>
        <w:t>Street</w:t>
      </w:r>
      <w:r w:rsidRPr="00A70CF5">
        <w:rPr>
          <w:spacing w:val="2"/>
          <w:u w:val="single"/>
        </w:rPr>
        <w:t xml:space="preserve"> </w:t>
      </w:r>
      <w:r w:rsidRPr="00A70CF5">
        <w:rPr>
          <w:spacing w:val="-1"/>
          <w:u w:val="single"/>
        </w:rPr>
        <w:t>Lighting</w:t>
      </w:r>
      <w:r w:rsidRPr="00A70CF5">
        <w:rPr>
          <w:u w:val="single"/>
        </w:rPr>
        <w:t xml:space="preserve"> </w:t>
      </w:r>
      <w:r w:rsidRPr="00A70CF5">
        <w:rPr>
          <w:spacing w:val="-1"/>
          <w:u w:val="single"/>
        </w:rPr>
        <w:t>Service,</w:t>
      </w:r>
      <w:r w:rsidRPr="00A70CF5">
        <w:rPr>
          <w:u w:val="single"/>
        </w:rPr>
        <w:t xml:space="preserve"> </w:t>
      </w:r>
      <w:r w:rsidRPr="00A70CF5">
        <w:rPr>
          <w:spacing w:val="-1"/>
          <w:u w:val="single"/>
        </w:rPr>
        <w:t>Ornamental</w:t>
      </w:r>
      <w:r w:rsidRPr="00A70CF5">
        <w:rPr>
          <w:u w:val="single"/>
        </w:rPr>
        <w:t xml:space="preserve"> Street</w:t>
      </w:r>
      <w:r w:rsidRPr="00A70CF5">
        <w:rPr>
          <w:spacing w:val="2"/>
          <w:u w:val="single"/>
        </w:rPr>
        <w:t xml:space="preserve"> </w:t>
      </w:r>
      <w:r w:rsidRPr="00A70CF5">
        <w:rPr>
          <w:spacing w:val="-1"/>
          <w:u w:val="single"/>
        </w:rPr>
        <w:t>Lighting,</w:t>
      </w:r>
      <w:r w:rsidRPr="00A70CF5">
        <w:rPr>
          <w:spacing w:val="2"/>
          <w:u w:val="single"/>
        </w:rPr>
        <w:t xml:space="preserve"> </w:t>
      </w:r>
      <w:r w:rsidRPr="00A70CF5">
        <w:rPr>
          <w:spacing w:val="-2"/>
          <w:u w:val="single"/>
        </w:rPr>
        <w:t>LED</w:t>
      </w:r>
      <w:r w:rsidRPr="00A70CF5">
        <w:rPr>
          <w:spacing w:val="-1"/>
          <w:u w:val="single"/>
        </w:rPr>
        <w:t xml:space="preserve"> </w:t>
      </w:r>
      <w:bookmarkStart w:id="0" w:name="_GoBack"/>
      <w:bookmarkEnd w:id="0"/>
      <w:r w:rsidRPr="00A70CF5">
        <w:rPr>
          <w:spacing w:val="-1"/>
          <w:u w:val="single"/>
        </w:rPr>
        <w:t>Street</w:t>
      </w:r>
      <w:r w:rsidRPr="00A70CF5">
        <w:rPr>
          <w:u w:val="single"/>
        </w:rPr>
        <w:t xml:space="preserve"> </w:t>
      </w:r>
      <w:r w:rsidRPr="00A70CF5">
        <w:rPr>
          <w:spacing w:val="-1"/>
          <w:u w:val="single"/>
        </w:rPr>
        <w:t>Lighting</w:t>
      </w:r>
      <w:r w:rsidRPr="002E287A">
        <w:rPr>
          <w:spacing w:val="71"/>
          <w:u w:val="single"/>
        </w:rPr>
        <w:t xml:space="preserve"> </w:t>
      </w:r>
      <w:r w:rsidRPr="00A70CF5">
        <w:rPr>
          <w:spacing w:val="-1"/>
          <w:u w:val="single"/>
        </w:rPr>
        <w:t>Service,</w:t>
      </w:r>
      <w:r w:rsidRPr="00A70CF5">
        <w:rPr>
          <w:u w:val="single"/>
        </w:rPr>
        <w:t xml:space="preserve"> </w:t>
      </w:r>
      <w:r w:rsidRPr="00A70CF5">
        <w:rPr>
          <w:spacing w:val="-1"/>
          <w:u w:val="single"/>
        </w:rPr>
        <w:t>and</w:t>
      </w:r>
      <w:r w:rsidRPr="00A70CF5">
        <w:rPr>
          <w:spacing w:val="2"/>
          <w:u w:val="single"/>
        </w:rPr>
        <w:t xml:space="preserve"> </w:t>
      </w:r>
      <w:r w:rsidRPr="00A70CF5">
        <w:rPr>
          <w:spacing w:val="-1"/>
          <w:u w:val="single"/>
        </w:rPr>
        <w:t>Outdoor</w:t>
      </w:r>
      <w:r w:rsidRPr="00A70CF5">
        <w:rPr>
          <w:spacing w:val="1"/>
          <w:u w:val="single"/>
        </w:rPr>
        <w:t xml:space="preserve"> </w:t>
      </w:r>
      <w:r w:rsidRPr="00A70CF5">
        <w:rPr>
          <w:spacing w:val="-1"/>
          <w:u w:val="single"/>
        </w:rPr>
        <w:t>Lighting</w:t>
      </w:r>
      <w:r w:rsidRPr="00A70CF5">
        <w:rPr>
          <w:spacing w:val="-3"/>
          <w:u w:val="single"/>
        </w:rPr>
        <w:t xml:space="preserve"> </w:t>
      </w:r>
      <w:r w:rsidRPr="00A70CF5">
        <w:rPr>
          <w:spacing w:val="-1"/>
          <w:u w:val="single"/>
        </w:rPr>
        <w:t>Service)</w:t>
      </w:r>
      <w:r w:rsidRPr="00A70CF5">
        <w:rPr>
          <w:spacing w:val="-1"/>
        </w:rPr>
        <w:t>:</w:t>
      </w:r>
    </w:p>
    <w:p w:rsidR="002C0197" w:rsidRPr="00A70CF5" w:rsidRDefault="002C0197" w:rsidP="002C0197">
      <w:pPr>
        <w:spacing w:before="11"/>
        <w:rPr>
          <w:sz w:val="17"/>
          <w:szCs w:val="17"/>
        </w:rPr>
      </w:pPr>
    </w:p>
    <w:p w:rsidR="002C0197" w:rsidRDefault="00433EE9" w:rsidP="00433EE9">
      <w:pPr>
        <w:ind w:left="3150" w:right="-360"/>
      </w:pPr>
      <w:r>
        <w:t>0.237</w:t>
      </w:r>
      <w:r w:rsidR="002C0197" w:rsidRPr="00A70CF5">
        <w:t xml:space="preserve"> cents per kWh</w:t>
      </w:r>
      <w:r>
        <w:tab/>
      </w:r>
      <w:r>
        <w:tab/>
      </w:r>
      <w:r>
        <w:tab/>
      </w:r>
      <w:r>
        <w:tab/>
      </w:r>
      <w:r>
        <w:tab/>
      </w:r>
      <w:r>
        <w:tab/>
        <w:t>(D)</w:t>
      </w:r>
    </w:p>
    <w:p w:rsidR="002C0197" w:rsidRPr="00A70CF5" w:rsidRDefault="002C0197" w:rsidP="002C0197">
      <w:pPr>
        <w:rPr>
          <w:szCs w:val="24"/>
        </w:rPr>
      </w:pPr>
    </w:p>
    <w:p w:rsidR="002C0197" w:rsidRPr="00A70CF5" w:rsidRDefault="002C0197" w:rsidP="002C0197">
      <w:pPr>
        <w:pStyle w:val="BodyText"/>
        <w:ind w:left="1271" w:right="403"/>
        <w:rPr>
          <w:szCs w:val="24"/>
        </w:rPr>
      </w:pPr>
      <w:r w:rsidRPr="00A70CF5">
        <w:rPr>
          <w:spacing w:val="-1"/>
          <w:u w:val="single"/>
        </w:rPr>
        <w:t>Residential</w:t>
      </w:r>
      <w:r w:rsidRPr="00A70CF5">
        <w:rPr>
          <w:spacing w:val="1"/>
          <w:u w:val="single"/>
        </w:rPr>
        <w:t xml:space="preserve"> </w:t>
      </w:r>
      <w:r w:rsidRPr="00A70CF5">
        <w:rPr>
          <w:spacing w:val="-1"/>
          <w:u w:val="single"/>
        </w:rPr>
        <w:t>Customer</w:t>
      </w:r>
      <w:r w:rsidRPr="00A70CF5">
        <w:rPr>
          <w:u w:val="single"/>
        </w:rPr>
        <w:t xml:space="preserve"> </w:t>
      </w:r>
      <w:r w:rsidRPr="00A70CF5">
        <w:rPr>
          <w:spacing w:val="-1"/>
          <w:u w:val="single"/>
        </w:rPr>
        <w:t>Class</w:t>
      </w:r>
      <w:r w:rsidRPr="00A70CF5">
        <w:rPr>
          <w:u w:val="single"/>
        </w:rPr>
        <w:t xml:space="preserve"> </w:t>
      </w:r>
      <w:r w:rsidRPr="00A70CF5">
        <w:rPr>
          <w:spacing w:val="-1"/>
          <w:u w:val="single"/>
        </w:rPr>
        <w:t xml:space="preserve">(Rate </w:t>
      </w:r>
      <w:r w:rsidRPr="00A70CF5">
        <w:rPr>
          <w:u w:val="single"/>
        </w:rPr>
        <w:t xml:space="preserve">RS, </w:t>
      </w:r>
      <w:r w:rsidRPr="00A70CF5">
        <w:rPr>
          <w:spacing w:val="-1"/>
          <w:u w:val="single"/>
        </w:rPr>
        <w:t>Rate GS</w:t>
      </w:r>
      <w:r w:rsidRPr="00A70CF5">
        <w:rPr>
          <w:u w:val="single"/>
        </w:rPr>
        <w:t xml:space="preserve"> – </w:t>
      </w:r>
      <w:r w:rsidRPr="00A70CF5">
        <w:rPr>
          <w:spacing w:val="-1"/>
          <w:u w:val="single"/>
        </w:rPr>
        <w:t>Volunteer</w:t>
      </w:r>
      <w:r w:rsidRPr="00A70CF5">
        <w:rPr>
          <w:spacing w:val="1"/>
          <w:u w:val="single"/>
        </w:rPr>
        <w:t xml:space="preserve"> </w:t>
      </w:r>
      <w:r w:rsidRPr="00A70CF5">
        <w:rPr>
          <w:spacing w:val="-1"/>
          <w:u w:val="single"/>
        </w:rPr>
        <w:t xml:space="preserve">Fire </w:t>
      </w:r>
      <w:r w:rsidRPr="00A70CF5">
        <w:rPr>
          <w:u w:val="single"/>
        </w:rPr>
        <w:t xml:space="preserve">Company, </w:t>
      </w:r>
      <w:r w:rsidRPr="00A70CF5">
        <w:rPr>
          <w:spacing w:val="-1"/>
          <w:u w:val="single"/>
        </w:rPr>
        <w:t>Non-Profit</w:t>
      </w:r>
      <w:r w:rsidRPr="00A70CF5">
        <w:rPr>
          <w:u w:val="single"/>
        </w:rPr>
        <w:t xml:space="preserve"> </w:t>
      </w:r>
      <w:r w:rsidRPr="00A70CF5">
        <w:rPr>
          <w:spacing w:val="-1"/>
          <w:u w:val="single"/>
        </w:rPr>
        <w:t>Ambulance Service,</w:t>
      </w:r>
      <w:r w:rsidRPr="00A70CF5">
        <w:rPr>
          <w:u w:val="single"/>
        </w:rPr>
        <w:t xml:space="preserve"> </w:t>
      </w:r>
      <w:r w:rsidRPr="00A70CF5">
        <w:rPr>
          <w:spacing w:val="-1"/>
          <w:u w:val="single"/>
        </w:rPr>
        <w:t>Rescue Squad</w:t>
      </w:r>
      <w:r w:rsidRPr="00A70CF5">
        <w:rPr>
          <w:spacing w:val="3"/>
          <w:u w:val="single"/>
        </w:rPr>
        <w:t xml:space="preserve"> </w:t>
      </w:r>
      <w:r w:rsidRPr="00A70CF5">
        <w:rPr>
          <w:spacing w:val="-1"/>
          <w:u w:val="single"/>
        </w:rPr>
        <w:t>and</w:t>
      </w:r>
      <w:r w:rsidRPr="00A70CF5">
        <w:rPr>
          <w:u w:val="single"/>
        </w:rPr>
        <w:t xml:space="preserve"> Senior</w:t>
      </w:r>
      <w:r w:rsidRPr="00A70CF5">
        <w:rPr>
          <w:spacing w:val="-1"/>
          <w:u w:val="single"/>
        </w:rPr>
        <w:t xml:space="preserve"> Center</w:t>
      </w:r>
      <w:r w:rsidRPr="00A70CF5">
        <w:rPr>
          <w:u w:val="single"/>
        </w:rPr>
        <w:t xml:space="preserve"> </w:t>
      </w:r>
      <w:r w:rsidRPr="00A70CF5">
        <w:rPr>
          <w:spacing w:val="-1"/>
          <w:u w:val="single"/>
        </w:rPr>
        <w:t>Service Rate)</w:t>
      </w:r>
      <w:r w:rsidRPr="00A70CF5">
        <w:rPr>
          <w:spacing w:val="-1"/>
        </w:rPr>
        <w:t>:</w:t>
      </w:r>
    </w:p>
    <w:p w:rsidR="002C0197" w:rsidRPr="00A70CF5" w:rsidRDefault="002C0197" w:rsidP="002C0197">
      <w:pPr>
        <w:spacing w:before="11"/>
        <w:rPr>
          <w:sz w:val="17"/>
          <w:szCs w:val="17"/>
        </w:rPr>
      </w:pPr>
    </w:p>
    <w:p w:rsidR="002C0197" w:rsidRPr="00A70CF5" w:rsidRDefault="00433EE9" w:rsidP="00433EE9">
      <w:pPr>
        <w:pStyle w:val="BodyText"/>
        <w:spacing w:before="69"/>
        <w:ind w:left="3150" w:right="-360"/>
        <w:rPr>
          <w:szCs w:val="24"/>
        </w:rPr>
      </w:pPr>
      <w:r>
        <w:t>0.197</w:t>
      </w:r>
      <w:r w:rsidR="002C0197" w:rsidRPr="00A70CF5">
        <w:t xml:space="preserve"> cents per kWh</w:t>
      </w:r>
      <w:r>
        <w:tab/>
      </w:r>
      <w:r>
        <w:tab/>
      </w:r>
      <w:r>
        <w:tab/>
      </w:r>
      <w:r>
        <w:tab/>
      </w:r>
      <w:r>
        <w:tab/>
      </w:r>
      <w:r>
        <w:tab/>
        <w:t>(D)</w:t>
      </w:r>
    </w:p>
    <w:p w:rsidR="002C0197" w:rsidRDefault="002C0197" w:rsidP="002C0197">
      <w:pPr>
        <w:ind w:right="-720"/>
        <w:jc w:val="center"/>
      </w:pPr>
    </w:p>
    <w:p w:rsidR="002C0197" w:rsidRDefault="002C0197" w:rsidP="002C0197">
      <w:pPr>
        <w:ind w:right="-720"/>
        <w:jc w:val="center"/>
      </w:pPr>
    </w:p>
    <w:p w:rsidR="002C0197" w:rsidRDefault="002C0197" w:rsidP="002C0197">
      <w:pPr>
        <w:ind w:right="-720"/>
        <w:jc w:val="center"/>
      </w:pPr>
    </w:p>
    <w:p w:rsidR="002C0197" w:rsidRDefault="002C0197" w:rsidP="002C0197">
      <w:pPr>
        <w:ind w:right="-720"/>
        <w:jc w:val="center"/>
      </w:pPr>
    </w:p>
    <w:p w:rsidR="002C0197" w:rsidRDefault="002C0197" w:rsidP="002C0197">
      <w:pPr>
        <w:ind w:right="-720"/>
        <w:jc w:val="center"/>
      </w:pPr>
    </w:p>
    <w:p w:rsidR="002C0197" w:rsidRDefault="002C0197" w:rsidP="002C0197">
      <w:pPr>
        <w:ind w:right="-720"/>
        <w:jc w:val="center"/>
      </w:pPr>
    </w:p>
    <w:p w:rsidR="002C0197" w:rsidRDefault="002C0197" w:rsidP="002C0197">
      <w:pPr>
        <w:ind w:right="-720"/>
        <w:jc w:val="center"/>
      </w:pPr>
    </w:p>
    <w:p w:rsidR="002C0197" w:rsidRDefault="002C0197" w:rsidP="002C0197">
      <w:pPr>
        <w:ind w:right="-720"/>
        <w:jc w:val="center"/>
      </w:pPr>
    </w:p>
    <w:p w:rsidR="002C0197" w:rsidRDefault="002C0197" w:rsidP="002C0197">
      <w:pPr>
        <w:ind w:right="-720"/>
        <w:jc w:val="center"/>
      </w:pPr>
    </w:p>
    <w:p w:rsidR="002C0197" w:rsidRDefault="002C0197" w:rsidP="002C0197">
      <w:pPr>
        <w:ind w:right="-720"/>
        <w:jc w:val="center"/>
      </w:pPr>
    </w:p>
    <w:p w:rsidR="002C0197" w:rsidRDefault="002C0197" w:rsidP="002C0197">
      <w:pPr>
        <w:ind w:right="-720"/>
        <w:jc w:val="center"/>
      </w:pPr>
    </w:p>
    <w:p w:rsidR="002C0197" w:rsidRDefault="002C0197" w:rsidP="002C0197">
      <w:pPr>
        <w:ind w:right="-720"/>
        <w:jc w:val="center"/>
      </w:pPr>
    </w:p>
    <w:p w:rsidR="002C0197" w:rsidRDefault="002C0197" w:rsidP="002C0197">
      <w:pPr>
        <w:ind w:right="-720"/>
        <w:jc w:val="center"/>
      </w:pPr>
    </w:p>
    <w:p w:rsidR="002C0197" w:rsidRDefault="002C0197" w:rsidP="002C0197">
      <w:pPr>
        <w:ind w:right="-720"/>
        <w:jc w:val="center"/>
      </w:pPr>
    </w:p>
    <w:p w:rsidR="002C0197" w:rsidRDefault="002C0197" w:rsidP="002C0197">
      <w:pPr>
        <w:ind w:right="-720"/>
        <w:jc w:val="center"/>
      </w:pPr>
    </w:p>
    <w:p w:rsidR="002C0197" w:rsidRDefault="002C0197" w:rsidP="002C0197">
      <w:pPr>
        <w:ind w:right="-720"/>
        <w:jc w:val="center"/>
      </w:pPr>
    </w:p>
    <w:p w:rsidR="002C0197" w:rsidRDefault="002C0197" w:rsidP="002C0197">
      <w:pPr>
        <w:ind w:right="-720"/>
        <w:jc w:val="center"/>
      </w:pPr>
    </w:p>
    <w:p w:rsidR="002C0197" w:rsidRDefault="002C0197" w:rsidP="002C0197">
      <w:pPr>
        <w:ind w:right="-720"/>
        <w:jc w:val="center"/>
      </w:pPr>
    </w:p>
    <w:p w:rsidR="003C4AAA" w:rsidRDefault="002C0197" w:rsidP="002C0197">
      <w:pPr>
        <w:jc w:val="center"/>
      </w:pPr>
      <w:r>
        <w:t>(C) Change</w:t>
      </w:r>
    </w:p>
    <w:p w:rsidR="00433EE9" w:rsidRDefault="00433EE9" w:rsidP="002C0197">
      <w:pPr>
        <w:jc w:val="center"/>
      </w:pPr>
      <w:r>
        <w:t xml:space="preserve">  (D) Decrease</w:t>
      </w:r>
    </w:p>
    <w:p w:rsidR="003C4AAA" w:rsidRDefault="003C4AAA" w:rsidP="00C26FEE"/>
    <w:p w:rsidR="003C4AAA" w:rsidRDefault="003C4AAA" w:rsidP="00C26FEE"/>
    <w:p w:rsidR="003C4AAA" w:rsidRPr="00B20F11" w:rsidRDefault="003C4AAA" w:rsidP="00C26FEE"/>
    <w:p w:rsidR="00C26FEE" w:rsidRPr="00B20F11" w:rsidRDefault="00C26FEE" w:rsidP="00C26FEE"/>
    <w:p w:rsidR="00C26FEE" w:rsidRPr="00B20F11" w:rsidRDefault="00C26FEE" w:rsidP="00C26FEE"/>
    <w:p w:rsidR="00C26FEE" w:rsidRDefault="00C26FEE" w:rsidP="001A1D92">
      <w:pPr>
        <w:rPr>
          <w:szCs w:val="24"/>
        </w:rPr>
        <w:sectPr w:rsidR="00C26FEE">
          <w:headerReference w:type="default" r:id="rId20"/>
          <w:endnotePr>
            <w:numFmt w:val="decimal"/>
          </w:endnotePr>
          <w:pgSz w:w="12240" w:h="15840"/>
          <w:pgMar w:top="720" w:right="1440" w:bottom="720" w:left="1440" w:header="720" w:footer="720" w:gutter="0"/>
          <w:cols w:space="720"/>
          <w:noEndnote/>
        </w:sectPr>
      </w:pPr>
    </w:p>
    <w:p w:rsidR="00EE6BCF" w:rsidRPr="00B20F11" w:rsidRDefault="00EE6BCF" w:rsidP="00EE6BCF">
      <w:pPr>
        <w:rPr>
          <w:szCs w:val="24"/>
        </w:rPr>
      </w:pPr>
      <w:r w:rsidRPr="00B20F11">
        <w:rPr>
          <w:szCs w:val="24"/>
        </w:rPr>
        <w:t xml:space="preserve">Rider </w:t>
      </w:r>
      <w:r>
        <w:rPr>
          <w:szCs w:val="24"/>
        </w:rPr>
        <w:t>J</w:t>
      </w:r>
      <w:r w:rsidRPr="00B20F11">
        <w:rPr>
          <w:szCs w:val="24"/>
        </w:rPr>
        <w:t xml:space="preserve"> (continued)</w:t>
      </w:r>
    </w:p>
    <w:p w:rsidR="00EE6BCF" w:rsidRPr="00B20F11" w:rsidRDefault="00EE6BCF" w:rsidP="00EE6BCF">
      <w:pPr>
        <w:tabs>
          <w:tab w:val="left" w:pos="9480"/>
        </w:tabs>
        <w:ind w:right="-120"/>
        <w:rPr>
          <w:szCs w:val="24"/>
        </w:rPr>
      </w:pPr>
    </w:p>
    <w:p w:rsidR="00EE6BCF" w:rsidRPr="00B20F11" w:rsidRDefault="00EE6BCF" w:rsidP="00EE6BCF">
      <w:pPr>
        <w:rPr>
          <w:b/>
          <w:szCs w:val="24"/>
          <w:u w:val="single"/>
        </w:rPr>
      </w:pPr>
      <w:r w:rsidRPr="00B20F11">
        <w:rPr>
          <w:b/>
          <w:szCs w:val="24"/>
          <w:u w:val="single"/>
        </w:rPr>
        <w:t>Retail Enhancements</w:t>
      </w:r>
    </w:p>
    <w:p w:rsidR="00EE6BCF" w:rsidRPr="00B20F11" w:rsidRDefault="00EE6BCF" w:rsidP="00EE6BCF">
      <w:pPr>
        <w:tabs>
          <w:tab w:val="center" w:pos="4680"/>
          <w:tab w:val="left" w:pos="9720"/>
        </w:tabs>
        <w:rPr>
          <w:szCs w:val="24"/>
        </w:rPr>
      </w:pPr>
      <w:r w:rsidRPr="00B20F11">
        <w:rPr>
          <w:szCs w:val="24"/>
        </w:rPr>
        <w:tab/>
        <w:t>RE = [ (</w:t>
      </w:r>
      <w:proofErr w:type="spellStart"/>
      <w:r w:rsidRPr="00B20F11">
        <w:rPr>
          <w:szCs w:val="24"/>
        </w:rPr>
        <w:t>RE</w:t>
      </w:r>
      <w:r w:rsidRPr="00B20F11">
        <w:rPr>
          <w:szCs w:val="24"/>
          <w:vertAlign w:val="subscript"/>
        </w:rPr>
        <w:t>c</w:t>
      </w:r>
      <w:proofErr w:type="spellEnd"/>
      <w:r w:rsidRPr="00B20F11">
        <w:rPr>
          <w:szCs w:val="24"/>
        </w:rPr>
        <w:t xml:space="preserve"> – E) / S]</w:t>
      </w:r>
    </w:p>
    <w:p w:rsidR="00EE6BCF" w:rsidRPr="00B20F11" w:rsidRDefault="00EE6BCF" w:rsidP="00EE6BCF">
      <w:pPr>
        <w:rPr>
          <w:szCs w:val="24"/>
        </w:rPr>
      </w:pPr>
      <w:r w:rsidRPr="00B20F11">
        <w:rPr>
          <w:szCs w:val="24"/>
        </w:rPr>
        <w:t>Where:</w:t>
      </w:r>
    </w:p>
    <w:p w:rsidR="00EE6BCF" w:rsidRPr="00B20F11" w:rsidRDefault="00EE6BCF" w:rsidP="00EE6BCF">
      <w:pPr>
        <w:tabs>
          <w:tab w:val="left" w:pos="810"/>
          <w:tab w:val="left" w:pos="9720"/>
        </w:tabs>
        <w:ind w:left="810" w:hanging="810"/>
        <w:rPr>
          <w:szCs w:val="24"/>
        </w:rPr>
      </w:pPr>
    </w:p>
    <w:p w:rsidR="00EE6BCF" w:rsidRPr="00B20F11" w:rsidRDefault="00EE6BCF" w:rsidP="00EE6BCF">
      <w:pPr>
        <w:tabs>
          <w:tab w:val="left" w:pos="810"/>
          <w:tab w:val="left" w:pos="9720"/>
        </w:tabs>
        <w:ind w:left="810" w:hanging="810"/>
        <w:rPr>
          <w:szCs w:val="24"/>
        </w:rPr>
      </w:pPr>
      <w:r w:rsidRPr="00B20F11">
        <w:rPr>
          <w:szCs w:val="24"/>
        </w:rPr>
        <w:t>RE =</w:t>
      </w:r>
      <w:r w:rsidRPr="00B20F11">
        <w:rPr>
          <w:szCs w:val="24"/>
        </w:rPr>
        <w:tab/>
        <w:t>The charge to be applied to Delivery Service Customers served under this rider for the Retail Enhancement Costs incurred by the Company.</w:t>
      </w:r>
    </w:p>
    <w:p w:rsidR="00EE6BCF" w:rsidRPr="00B20F11" w:rsidRDefault="00EE6BCF" w:rsidP="00EE6BCF">
      <w:pPr>
        <w:rPr>
          <w:szCs w:val="24"/>
        </w:rPr>
      </w:pPr>
    </w:p>
    <w:p w:rsidR="00EE6BCF" w:rsidRPr="00B20F11" w:rsidRDefault="00EE6BCF" w:rsidP="00EE6BCF">
      <w:pPr>
        <w:tabs>
          <w:tab w:val="left" w:pos="810"/>
          <w:tab w:val="left" w:pos="9720"/>
        </w:tabs>
        <w:ind w:left="810" w:hanging="810"/>
        <w:rPr>
          <w:szCs w:val="24"/>
        </w:rPr>
      </w:pPr>
      <w:proofErr w:type="spellStart"/>
      <w:r w:rsidRPr="00B20F11">
        <w:rPr>
          <w:szCs w:val="24"/>
        </w:rPr>
        <w:t>REc</w:t>
      </w:r>
      <w:proofErr w:type="spellEnd"/>
      <w:r w:rsidRPr="00B20F11">
        <w:rPr>
          <w:szCs w:val="24"/>
          <w:vertAlign w:val="subscript"/>
        </w:rPr>
        <w:t xml:space="preserve"> </w:t>
      </w:r>
      <w:r w:rsidRPr="00B20F11">
        <w:rPr>
          <w:szCs w:val="24"/>
        </w:rPr>
        <w:t xml:space="preserve">= </w:t>
      </w:r>
      <w:r w:rsidRPr="00B20F11">
        <w:rPr>
          <w:szCs w:val="24"/>
        </w:rPr>
        <w:tab/>
        <w:t>The Retail Enhancement Costs incurred by the Company to cover programming expenses and implementation costs associated with competitive market enhancements approved by the Commission.</w:t>
      </w:r>
    </w:p>
    <w:p w:rsidR="00EE6BCF" w:rsidRPr="00B20F11" w:rsidRDefault="00EE6BCF" w:rsidP="00EE6BCF">
      <w:pPr>
        <w:ind w:left="810" w:right="-450" w:hanging="81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EE6BCF" w:rsidRDefault="00EE6BCF" w:rsidP="00EE6BCF">
      <w:pPr>
        <w:tabs>
          <w:tab w:val="left" w:pos="810"/>
          <w:tab w:val="left" w:pos="9720"/>
        </w:tabs>
        <w:ind w:left="810" w:hanging="810"/>
        <w:rPr>
          <w:szCs w:val="24"/>
        </w:rPr>
      </w:pPr>
      <w:r w:rsidRPr="00B20F11">
        <w:rPr>
          <w:szCs w:val="24"/>
        </w:rPr>
        <w:t xml:space="preserve">E = </w:t>
      </w:r>
      <w:r w:rsidRPr="00B20F11">
        <w:rPr>
          <w:szCs w:val="24"/>
        </w:rPr>
        <w:tab/>
        <w:t>The over or under-collection of the RE</w:t>
      </w:r>
      <w:r w:rsidRPr="00B20F11">
        <w:rPr>
          <w:szCs w:val="24"/>
          <w:vertAlign w:val="subscript"/>
        </w:rPr>
        <w:t>C</w:t>
      </w:r>
      <w:r w:rsidRPr="00B20F11">
        <w:rPr>
          <w:szCs w:val="24"/>
        </w:rPr>
        <w:t xml:space="preserve"> that results from billing of the RE during the DSS Reconciliation Year, including applicable interest.  An over-collection is denoted by a positive E and an under-collection by a negative E.  </w:t>
      </w:r>
      <w:r w:rsidRPr="007125A7">
        <w:rPr>
          <w:szCs w:val="24"/>
        </w:rPr>
        <w:t xml:space="preserve">Interest shall be computed monthly </w:t>
      </w:r>
      <w:r>
        <w:rPr>
          <w:szCs w:val="24"/>
        </w:rPr>
        <w:t xml:space="preserve">for the over or under collection at the prime rate of interest for commercial banking, not to exceed the legal rate of interest, in effect on the last day of the month the over and under collection occurs, as reported in the </w:t>
      </w:r>
      <w:r w:rsidRPr="00CB51A1">
        <w:rPr>
          <w:i/>
          <w:szCs w:val="24"/>
        </w:rPr>
        <w:t>Wall Street Journal</w:t>
      </w:r>
      <w:r>
        <w:rPr>
          <w:szCs w:val="24"/>
        </w:rPr>
        <w:t>, to the effective month that the over collection is refunded or the under collection is collected.</w:t>
      </w:r>
    </w:p>
    <w:p w:rsidR="00EE6BCF" w:rsidRPr="00B20F11" w:rsidRDefault="00EE6BCF" w:rsidP="00EE6BCF">
      <w:pPr>
        <w:tabs>
          <w:tab w:val="left" w:pos="810"/>
          <w:tab w:val="left" w:pos="9720"/>
        </w:tabs>
        <w:ind w:left="810" w:hanging="810"/>
        <w:rPr>
          <w:szCs w:val="24"/>
        </w:rPr>
      </w:pPr>
    </w:p>
    <w:p w:rsidR="00EE6BCF" w:rsidRPr="00B20F11" w:rsidRDefault="00EE6BCF" w:rsidP="00EE6BCF">
      <w:pPr>
        <w:tabs>
          <w:tab w:val="left" w:pos="810"/>
          <w:tab w:val="left" w:pos="9720"/>
        </w:tabs>
        <w:ind w:left="810" w:hanging="810"/>
        <w:rPr>
          <w:szCs w:val="24"/>
        </w:rPr>
      </w:pPr>
      <w:r w:rsidRPr="00B20F11">
        <w:rPr>
          <w:szCs w:val="24"/>
        </w:rPr>
        <w:t xml:space="preserve">S = </w:t>
      </w:r>
      <w:r w:rsidRPr="00B20F11">
        <w:rPr>
          <w:szCs w:val="24"/>
        </w:rPr>
        <w:tab/>
        <w:t>The Company’s total DSS Sales per Customer Class to Delivery Service Customers projected for the DSS Computational Year.</w:t>
      </w:r>
    </w:p>
    <w:p w:rsidR="00EE6BCF" w:rsidRPr="00B20F11" w:rsidRDefault="00EE6BCF" w:rsidP="00EE6BCF">
      <w:pPr>
        <w:ind w:left="810" w:hanging="810"/>
        <w:rPr>
          <w:szCs w:val="24"/>
        </w:rPr>
      </w:pPr>
    </w:p>
    <w:p w:rsidR="00EE6BCF" w:rsidRPr="00B20F11" w:rsidRDefault="00EE6BCF" w:rsidP="00EE6BCF">
      <w:pPr>
        <w:widowControl/>
        <w:tabs>
          <w:tab w:val="left" w:pos="0"/>
          <w:tab w:val="left" w:pos="720"/>
          <w:tab w:val="left" w:pos="1440"/>
          <w:tab w:val="left" w:pos="2160"/>
          <w:tab w:val="left" w:pos="9720"/>
        </w:tabs>
        <w:spacing w:after="45"/>
        <w:ind w:left="810" w:right="108"/>
        <w:rPr>
          <w:szCs w:val="24"/>
        </w:rPr>
      </w:pPr>
      <w:r w:rsidRPr="00B20F11">
        <w:rPr>
          <w:szCs w:val="24"/>
        </w:rPr>
        <w:t>The RE rates by Customer Class to be included in DSS rates are as follows:</w:t>
      </w:r>
    </w:p>
    <w:p w:rsidR="00EE6BCF" w:rsidRPr="00B20F11" w:rsidRDefault="00EE6BCF" w:rsidP="00EE6BCF">
      <w:pPr>
        <w:tabs>
          <w:tab w:val="left" w:pos="810"/>
        </w:tabs>
        <w:ind w:left="900" w:hanging="900"/>
        <w:rPr>
          <w:szCs w:val="24"/>
        </w:rPr>
      </w:pPr>
    </w:p>
    <w:p w:rsidR="00EE6BCF" w:rsidRPr="00B20F11" w:rsidRDefault="00EE6BCF" w:rsidP="00EE6BCF">
      <w:pPr>
        <w:widowControl/>
        <w:tabs>
          <w:tab w:val="left" w:pos="-270"/>
          <w:tab w:val="left" w:pos="0"/>
          <w:tab w:val="left" w:pos="270"/>
          <w:tab w:val="left" w:pos="630"/>
          <w:tab w:val="left" w:pos="990"/>
          <w:tab w:val="left" w:pos="2790"/>
          <w:tab w:val="left" w:pos="9720"/>
        </w:tabs>
        <w:ind w:left="1170"/>
        <w:rPr>
          <w:u w:val="single"/>
        </w:rPr>
      </w:pPr>
      <w:r w:rsidRPr="00B20F11">
        <w:rPr>
          <w:u w:val="single"/>
        </w:rPr>
        <w:t>Industrial Customer Class (Rate GS – Large, GP and Rate LP):</w:t>
      </w:r>
    </w:p>
    <w:p w:rsidR="00EE6BCF" w:rsidRPr="00B20F11" w:rsidRDefault="00EE6BCF" w:rsidP="00EE6BCF">
      <w:pPr>
        <w:widowControl/>
        <w:tabs>
          <w:tab w:val="left" w:pos="-270"/>
          <w:tab w:val="left" w:pos="0"/>
          <w:tab w:val="left" w:pos="270"/>
          <w:tab w:val="left" w:pos="630"/>
          <w:tab w:val="left" w:pos="990"/>
          <w:tab w:val="left" w:pos="2790"/>
          <w:tab w:val="left" w:pos="8190"/>
          <w:tab w:val="left" w:pos="9480"/>
        </w:tabs>
        <w:ind w:left="720" w:right="-120"/>
      </w:pPr>
      <w:r w:rsidRPr="00B20F11">
        <w:tab/>
      </w:r>
    </w:p>
    <w:p w:rsidR="00EE6BCF" w:rsidRPr="00B20F11" w:rsidRDefault="00EE6BCF" w:rsidP="00EE6BCF">
      <w:pPr>
        <w:tabs>
          <w:tab w:val="left" w:pos="2880"/>
          <w:tab w:val="left" w:pos="9720"/>
        </w:tabs>
        <w:ind w:left="2160"/>
        <w:rPr>
          <w:szCs w:val="24"/>
        </w:rPr>
      </w:pPr>
      <w:r w:rsidRPr="00B20F11">
        <w:rPr>
          <w:szCs w:val="24"/>
        </w:rPr>
        <w:tab/>
        <w:t>$0.000 per kW NSPL</w:t>
      </w:r>
    </w:p>
    <w:p w:rsidR="00EE6BCF" w:rsidRPr="00B20F11" w:rsidRDefault="00EE6BCF" w:rsidP="00EE6BCF">
      <w:pPr>
        <w:widowControl/>
        <w:tabs>
          <w:tab w:val="left" w:pos="-270"/>
          <w:tab w:val="left" w:pos="0"/>
          <w:tab w:val="left" w:pos="270"/>
          <w:tab w:val="left" w:pos="630"/>
          <w:tab w:val="left" w:pos="990"/>
          <w:tab w:val="left" w:pos="2790"/>
          <w:tab w:val="left" w:pos="8190"/>
          <w:tab w:val="left" w:pos="8910"/>
        </w:tabs>
        <w:ind w:left="1170"/>
        <w:rPr>
          <w:u w:val="single"/>
        </w:rPr>
      </w:pPr>
    </w:p>
    <w:p w:rsidR="00EE6BCF" w:rsidRPr="00B20F11" w:rsidRDefault="00EE6BCF" w:rsidP="00EE6BCF">
      <w:pPr>
        <w:widowControl/>
        <w:tabs>
          <w:tab w:val="left" w:pos="-270"/>
          <w:tab w:val="left" w:pos="0"/>
          <w:tab w:val="left" w:pos="270"/>
          <w:tab w:val="left" w:pos="630"/>
          <w:tab w:val="left" w:pos="990"/>
          <w:tab w:val="left" w:pos="2790"/>
          <w:tab w:val="left" w:pos="8190"/>
          <w:tab w:val="left" w:pos="8910"/>
        </w:tabs>
        <w:ind w:left="1170"/>
      </w:pPr>
      <w:r w:rsidRPr="00B20F11">
        <w:rPr>
          <w:u w:val="single"/>
        </w:rPr>
        <w:t>Commercial Customer Class (Rate GS-Small)</w:t>
      </w:r>
      <w:r w:rsidRPr="00B20F11">
        <w:t>:</w:t>
      </w:r>
    </w:p>
    <w:p w:rsidR="00EE6BCF" w:rsidRPr="00B20F11" w:rsidRDefault="00EE6BCF" w:rsidP="00EE6BCF">
      <w:pPr>
        <w:widowControl/>
        <w:tabs>
          <w:tab w:val="left" w:pos="-270"/>
          <w:tab w:val="left" w:pos="0"/>
          <w:tab w:val="left" w:pos="270"/>
          <w:tab w:val="left" w:pos="630"/>
          <w:tab w:val="left" w:pos="990"/>
          <w:tab w:val="left" w:pos="2790"/>
          <w:tab w:val="left" w:pos="8190"/>
          <w:tab w:val="left" w:pos="9480"/>
        </w:tabs>
        <w:ind w:left="720" w:right="-120"/>
      </w:pPr>
      <w:r>
        <w:tab/>
      </w:r>
      <w:r>
        <w:tab/>
      </w:r>
      <w:r>
        <w:tab/>
      </w:r>
      <w:r>
        <w:tab/>
      </w:r>
    </w:p>
    <w:p w:rsidR="00EE6BCF" w:rsidRPr="00B20F11" w:rsidRDefault="00EE6BCF" w:rsidP="00C352AF">
      <w:pPr>
        <w:tabs>
          <w:tab w:val="left" w:pos="2880"/>
          <w:tab w:val="left" w:pos="9360"/>
        </w:tabs>
        <w:ind w:left="2160" w:right="-450"/>
        <w:rPr>
          <w:szCs w:val="24"/>
        </w:rPr>
      </w:pPr>
      <w:r w:rsidRPr="00B20F11">
        <w:rPr>
          <w:szCs w:val="24"/>
        </w:rPr>
        <w:tab/>
      </w:r>
      <w:r w:rsidR="00C352AF">
        <w:rPr>
          <w:szCs w:val="24"/>
        </w:rPr>
        <w:t>0.000</w:t>
      </w:r>
      <w:r w:rsidRPr="00B20F11">
        <w:rPr>
          <w:szCs w:val="24"/>
        </w:rPr>
        <w:t xml:space="preserve"> cents per kWh</w:t>
      </w:r>
      <w:r w:rsidR="00C352AF">
        <w:rPr>
          <w:szCs w:val="24"/>
        </w:rPr>
        <w:tab/>
        <w:t>(D)</w:t>
      </w:r>
    </w:p>
    <w:p w:rsidR="00EE6BCF" w:rsidRPr="00B20F11" w:rsidRDefault="00EE6BCF" w:rsidP="00EE6BCF">
      <w:pPr>
        <w:ind w:left="1440" w:firstLine="720"/>
        <w:rPr>
          <w:szCs w:val="24"/>
        </w:rPr>
      </w:pPr>
    </w:p>
    <w:p w:rsidR="00EE6BCF" w:rsidRPr="00B20F11" w:rsidRDefault="00EE6BCF" w:rsidP="00EE6BCF">
      <w:pPr>
        <w:ind w:left="1170"/>
        <w:rPr>
          <w:szCs w:val="24"/>
        </w:rPr>
      </w:pPr>
      <w:r w:rsidRPr="00B20F11">
        <w:rPr>
          <w:szCs w:val="24"/>
          <w:u w:val="single"/>
        </w:rPr>
        <w:t xml:space="preserve">Residential Customer Class (Rate RS </w:t>
      </w:r>
      <w:r>
        <w:rPr>
          <w:szCs w:val="24"/>
          <w:u w:val="single"/>
        </w:rPr>
        <w:t xml:space="preserve">and </w:t>
      </w:r>
      <w:r w:rsidRPr="00B20F11">
        <w:rPr>
          <w:szCs w:val="24"/>
          <w:u w:val="single"/>
        </w:rPr>
        <w:t>Rate GS – Volunteer Fire Company, Non-Profit Ambulance Service, Rescue Squad and Senior Center Service Rate)</w:t>
      </w:r>
      <w:r w:rsidRPr="00B20F11">
        <w:rPr>
          <w:szCs w:val="24"/>
        </w:rPr>
        <w:t xml:space="preserve">:  </w:t>
      </w:r>
    </w:p>
    <w:p w:rsidR="00856F3B" w:rsidRDefault="00EE6BCF" w:rsidP="00B449B1">
      <w:pPr>
        <w:tabs>
          <w:tab w:val="left" w:pos="9480"/>
        </w:tabs>
        <w:ind w:left="2880" w:right="-120"/>
        <w:rPr>
          <w:szCs w:val="24"/>
        </w:rPr>
      </w:pPr>
      <w:r w:rsidRPr="00B20F11">
        <w:rPr>
          <w:szCs w:val="24"/>
        </w:rPr>
        <w:tab/>
      </w:r>
      <w:r w:rsidR="00C352AF">
        <w:rPr>
          <w:szCs w:val="24"/>
        </w:rPr>
        <w:t>0.005</w:t>
      </w:r>
      <w:r w:rsidRPr="00B20F11">
        <w:rPr>
          <w:szCs w:val="24"/>
        </w:rPr>
        <w:t xml:space="preserve"> cents per kWh</w:t>
      </w:r>
    </w:p>
    <w:p w:rsidR="00C352AF" w:rsidRDefault="00C352AF" w:rsidP="00B449B1">
      <w:pPr>
        <w:tabs>
          <w:tab w:val="left" w:pos="9480"/>
        </w:tabs>
        <w:ind w:left="2880" w:right="-120"/>
        <w:rPr>
          <w:szCs w:val="24"/>
        </w:rPr>
      </w:pPr>
    </w:p>
    <w:p w:rsidR="00C352AF" w:rsidRDefault="00C352AF" w:rsidP="00C352AF">
      <w:pPr>
        <w:tabs>
          <w:tab w:val="left" w:pos="9480"/>
        </w:tabs>
        <w:ind w:right="-120"/>
        <w:jc w:val="center"/>
        <w:rPr>
          <w:szCs w:val="24"/>
        </w:rPr>
      </w:pPr>
    </w:p>
    <w:p w:rsidR="00C352AF" w:rsidRDefault="00C352AF" w:rsidP="00C352AF">
      <w:pPr>
        <w:tabs>
          <w:tab w:val="left" w:pos="9480"/>
        </w:tabs>
        <w:ind w:right="-120"/>
        <w:jc w:val="center"/>
        <w:rPr>
          <w:szCs w:val="24"/>
        </w:rPr>
      </w:pPr>
    </w:p>
    <w:p w:rsidR="00C352AF" w:rsidRDefault="00C352AF" w:rsidP="00C352AF">
      <w:pPr>
        <w:tabs>
          <w:tab w:val="left" w:pos="9480"/>
        </w:tabs>
        <w:ind w:right="-120"/>
        <w:jc w:val="center"/>
        <w:rPr>
          <w:szCs w:val="24"/>
        </w:rPr>
      </w:pPr>
    </w:p>
    <w:p w:rsidR="00C352AF" w:rsidRDefault="00C352AF" w:rsidP="00C352AF">
      <w:pPr>
        <w:tabs>
          <w:tab w:val="left" w:pos="9480"/>
        </w:tabs>
        <w:ind w:right="-120"/>
        <w:jc w:val="center"/>
        <w:rPr>
          <w:szCs w:val="24"/>
        </w:rPr>
      </w:pPr>
    </w:p>
    <w:p w:rsidR="00C352AF" w:rsidRDefault="00C352AF" w:rsidP="00C352AF">
      <w:pPr>
        <w:tabs>
          <w:tab w:val="left" w:pos="9480"/>
        </w:tabs>
        <w:ind w:right="-120"/>
        <w:jc w:val="center"/>
        <w:rPr>
          <w:szCs w:val="24"/>
        </w:rPr>
      </w:pPr>
      <w:r>
        <w:rPr>
          <w:szCs w:val="24"/>
        </w:rPr>
        <w:t>(D) Decrease</w:t>
      </w:r>
    </w:p>
    <w:sectPr w:rsidR="00C352AF" w:rsidSect="00532AAB">
      <w:headerReference w:type="default" r:id="rId21"/>
      <w:endnotePr>
        <w:numFmt w:val="decimal"/>
      </w:endnotePr>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FAF" w:rsidRDefault="00942FAF">
      <w:r>
        <w:separator/>
      </w:r>
    </w:p>
  </w:endnote>
  <w:endnote w:type="continuationSeparator" w:id="0">
    <w:p w:rsidR="00942FAF" w:rsidRDefault="0094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90F" w:rsidRDefault="008C1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90F" w:rsidRDefault="008C1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90F" w:rsidRDefault="008C19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43B" w:rsidRPr="00DD4FA6" w:rsidRDefault="0000343B" w:rsidP="0000343B">
    <w:pPr>
      <w:pStyle w:val="Footer"/>
      <w:tabs>
        <w:tab w:val="clear" w:pos="4320"/>
        <w:tab w:val="left" w:pos="6240"/>
        <w:tab w:val="center" w:pos="6570"/>
      </w:tabs>
    </w:pPr>
    <w:r>
      <w:t xml:space="preserve">Issued:  </w:t>
    </w:r>
    <w:r w:rsidR="00D6250B">
      <w:t>April 2</w:t>
    </w:r>
    <w:r w:rsidR="008262D1">
      <w:t>8</w:t>
    </w:r>
    <w:r w:rsidR="0021030A">
      <w:t>, 201</w:t>
    </w:r>
    <w:r w:rsidR="00544D22">
      <w:t>7</w:t>
    </w:r>
    <w:r>
      <w:tab/>
    </w:r>
    <w:r w:rsidR="0028307B">
      <w:tab/>
    </w:r>
    <w:r>
      <w:tab/>
      <w:t xml:space="preserve">Effective:  </w:t>
    </w:r>
    <w:r w:rsidR="00661EBF">
      <w:t xml:space="preserve">June </w:t>
    </w:r>
    <w:r w:rsidR="0021030A">
      <w:t xml:space="preserve">1, </w:t>
    </w:r>
    <w:r w:rsidR="00426FC8">
      <w:t>201</w:t>
    </w:r>
    <w:r w:rsidR="00544D22">
      <w:t>7</w:t>
    </w:r>
  </w:p>
  <w:p w:rsidR="00807F1B" w:rsidRPr="0000343B" w:rsidRDefault="00807F1B" w:rsidP="00003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FAF" w:rsidRDefault="00942FAF">
      <w:r>
        <w:separator/>
      </w:r>
    </w:p>
  </w:footnote>
  <w:footnote w:type="continuationSeparator" w:id="0">
    <w:p w:rsidR="00942FAF" w:rsidRDefault="00942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90F" w:rsidRDefault="008C190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F65" w:rsidRDefault="00991634" w:rsidP="006A4A26">
    <w:pPr>
      <w:pStyle w:val="Header"/>
      <w:tabs>
        <w:tab w:val="clear" w:pos="4320"/>
        <w:tab w:val="clear" w:pos="8640"/>
        <w:tab w:val="left" w:pos="5040"/>
      </w:tabs>
    </w:pPr>
    <w:r>
      <w:t>PENNSYLVANIA ELECTRIC COMPANY</w:t>
    </w:r>
    <w:r>
      <w:tab/>
      <w:t xml:space="preserve">Electric </w:t>
    </w:r>
    <w:smartTag w:uri="urn:schemas-microsoft-com:office:smarttags" w:element="place">
      <w:smartTag w:uri="urn:schemas-microsoft-com:office:smarttags" w:element="State">
        <w:r>
          <w:t>Pa.</w:t>
        </w:r>
      </w:smartTag>
    </w:smartTag>
    <w:r>
      <w:t xml:space="preserve"> P.U.C. No. 8</w:t>
    </w:r>
    <w:r w:rsidR="00D40F65">
      <w:t>1</w:t>
    </w:r>
    <w:r>
      <w:t xml:space="preserve"> (Supp. </w:t>
    </w:r>
    <w:r w:rsidR="00975BE6">
      <w:t>40</w:t>
    </w:r>
    <w:r w:rsidR="00D40F65">
      <w:t>)</w:t>
    </w:r>
  </w:p>
  <w:p w:rsidR="00991634" w:rsidRDefault="00991634" w:rsidP="006A4A26">
    <w:pPr>
      <w:pStyle w:val="Header"/>
      <w:tabs>
        <w:tab w:val="clear" w:pos="4320"/>
        <w:tab w:val="clear" w:pos="8640"/>
        <w:tab w:val="left" w:pos="5040"/>
      </w:tabs>
    </w:pPr>
    <w:r>
      <w:tab/>
    </w:r>
    <w:r w:rsidR="003D47DA">
      <w:t>Third</w:t>
    </w:r>
    <w:r>
      <w:t xml:space="preserve"> Revised Page 1</w:t>
    </w:r>
    <w:r w:rsidR="008C190F">
      <w:t>54</w:t>
    </w:r>
  </w:p>
  <w:p w:rsidR="00991634" w:rsidRDefault="00991634" w:rsidP="006A4A26">
    <w:pPr>
      <w:pStyle w:val="Header"/>
      <w:tabs>
        <w:tab w:val="clear" w:pos="4320"/>
        <w:tab w:val="clear" w:pos="8640"/>
        <w:tab w:val="left" w:pos="5040"/>
      </w:tabs>
    </w:pPr>
    <w:r>
      <w:tab/>
      <w:t xml:space="preserve">Superseding </w:t>
    </w:r>
    <w:r w:rsidR="003D47DA">
      <w:t>Second</w:t>
    </w:r>
    <w:r w:rsidR="000C50FF">
      <w:t xml:space="preserve"> Revised</w:t>
    </w:r>
    <w:r>
      <w:t xml:space="preserve"> Page </w:t>
    </w:r>
    <w:r w:rsidR="008C190F">
      <w:t>154</w:t>
    </w:r>
  </w:p>
  <w:p w:rsidR="00991634" w:rsidRDefault="00991634" w:rsidP="0093769D">
    <w:pPr>
      <w:pStyle w:val="Header"/>
      <w:tabs>
        <w:tab w:val="clear" w:pos="4320"/>
        <w:tab w:val="clear" w:pos="8640"/>
        <w:tab w:val="left" w:pos="57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90F" w:rsidRDefault="008C19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90F" w:rsidRDefault="008C19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1B" w:rsidRDefault="00807F1B" w:rsidP="005E0F05">
    <w:pPr>
      <w:pStyle w:val="Header"/>
      <w:tabs>
        <w:tab w:val="left" w:pos="5040"/>
      </w:tabs>
    </w:pPr>
    <w:r>
      <w:t>PENNSYLVANIA ELECTRIC COMPANY</w:t>
    </w:r>
    <w:r>
      <w:tab/>
    </w:r>
    <w:r>
      <w:tab/>
      <w:t xml:space="preserve">Electric </w:t>
    </w:r>
    <w:smartTag w:uri="urn:schemas-microsoft-com:office:smarttags" w:element="place">
      <w:smartTag w:uri="urn:schemas-microsoft-com:office:smarttags" w:element="State">
        <w:r>
          <w:t>Pa.</w:t>
        </w:r>
      </w:smartTag>
    </w:smartTag>
    <w:r>
      <w:t xml:space="preserve"> P.U.C. No. 8</w:t>
    </w:r>
    <w:r w:rsidR="0028307B">
      <w:t>1</w:t>
    </w:r>
    <w:r>
      <w:t xml:space="preserve"> (Supp. </w:t>
    </w:r>
    <w:r w:rsidR="00975BE6">
      <w:t>40</w:t>
    </w:r>
    <w:r>
      <w:t>)</w:t>
    </w:r>
  </w:p>
  <w:p w:rsidR="00807F1B" w:rsidRDefault="00807F1B" w:rsidP="005E0F05">
    <w:pPr>
      <w:pStyle w:val="Header"/>
      <w:tabs>
        <w:tab w:val="left" w:pos="5040"/>
      </w:tabs>
    </w:pPr>
    <w:r>
      <w:tab/>
    </w:r>
    <w:r>
      <w:tab/>
    </w:r>
    <w:r w:rsidR="008262D1">
      <w:t>Thirty-S</w:t>
    </w:r>
    <w:r w:rsidR="00CA0BDE">
      <w:t>eventh</w:t>
    </w:r>
    <w:r w:rsidR="003841DF">
      <w:t xml:space="preserve"> </w:t>
    </w:r>
    <w:r>
      <w:t>Revised Page 2</w:t>
    </w:r>
  </w:p>
  <w:p w:rsidR="00807F1B" w:rsidRDefault="00807F1B" w:rsidP="005E0F05">
    <w:pPr>
      <w:pStyle w:val="Header"/>
      <w:tabs>
        <w:tab w:val="left" w:pos="5040"/>
      </w:tabs>
    </w:pPr>
    <w:r>
      <w:tab/>
    </w:r>
    <w:r>
      <w:tab/>
      <w:t xml:space="preserve">Superseding </w:t>
    </w:r>
    <w:r w:rsidR="008262D1">
      <w:t>Thirty-</w:t>
    </w:r>
    <w:r w:rsidR="00CA0BDE">
      <w:t>Sixth</w:t>
    </w:r>
    <w:r w:rsidR="000C50FF">
      <w:t xml:space="preserve"> </w:t>
    </w:r>
    <w:r>
      <w:t>Revised Page 2</w:t>
    </w:r>
  </w:p>
  <w:p w:rsidR="00807F1B" w:rsidRDefault="00807F1B" w:rsidP="005E0F05">
    <w:pPr>
      <w:pStyle w:val="Header"/>
      <w:tabs>
        <w:tab w:val="left" w:pos="5280"/>
      </w:tabs>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DA" w:rsidRDefault="003D47DA" w:rsidP="003D47DA">
    <w:pPr>
      <w:pStyle w:val="Header"/>
      <w:tabs>
        <w:tab w:val="left" w:pos="5040"/>
      </w:tabs>
    </w:pPr>
    <w:r>
      <w:t>PENNSYLVANIA ELECTRIC COMPANY</w:t>
    </w:r>
    <w:r>
      <w:tab/>
    </w:r>
    <w:r>
      <w:tab/>
      <w:t xml:space="preserve">Electric </w:t>
    </w:r>
    <w:smartTag w:uri="urn:schemas-microsoft-com:office:smarttags" w:element="place">
      <w:smartTag w:uri="urn:schemas-microsoft-com:office:smarttags" w:element="State">
        <w:r>
          <w:t>Pa.</w:t>
        </w:r>
      </w:smartTag>
    </w:smartTag>
    <w:r>
      <w:t xml:space="preserve"> P.U.C. No. 81 (Supp. </w:t>
    </w:r>
    <w:r w:rsidR="00975BE6">
      <w:t>40</w:t>
    </w:r>
    <w:r>
      <w:t>)</w:t>
    </w:r>
  </w:p>
  <w:p w:rsidR="003D47DA" w:rsidRDefault="003D47DA" w:rsidP="003D47DA">
    <w:pPr>
      <w:pStyle w:val="Header"/>
      <w:tabs>
        <w:tab w:val="left" w:pos="5040"/>
      </w:tabs>
    </w:pPr>
    <w:r>
      <w:tab/>
    </w:r>
    <w:r>
      <w:tab/>
    </w:r>
    <w:r w:rsidR="002C0197">
      <w:t>Fifth</w:t>
    </w:r>
    <w:r>
      <w:t xml:space="preserve"> Revised Page 1</w:t>
    </w:r>
    <w:r w:rsidR="002C0197">
      <w:t>49</w:t>
    </w:r>
  </w:p>
  <w:p w:rsidR="003D47DA" w:rsidRDefault="003D47DA" w:rsidP="003D47DA">
    <w:pPr>
      <w:pStyle w:val="Header"/>
      <w:tabs>
        <w:tab w:val="left" w:pos="5040"/>
      </w:tabs>
    </w:pPr>
    <w:r>
      <w:tab/>
    </w:r>
    <w:r>
      <w:tab/>
      <w:t xml:space="preserve">Superseding </w:t>
    </w:r>
    <w:r w:rsidR="002C0197">
      <w:t xml:space="preserve">Fourth </w:t>
    </w:r>
    <w:r>
      <w:t xml:space="preserve">Revised Page </w:t>
    </w:r>
    <w:r w:rsidR="002C0197">
      <w:t>149</w:t>
    </w:r>
  </w:p>
  <w:p w:rsidR="005E2F61" w:rsidRDefault="005E2F61" w:rsidP="005E0F05">
    <w:pPr>
      <w:pStyle w:val="Header"/>
      <w:tabs>
        <w:tab w:val="left" w:pos="5280"/>
      </w:tabs>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97" w:rsidRDefault="002C0197" w:rsidP="003D47DA">
    <w:pPr>
      <w:pStyle w:val="Header"/>
      <w:tabs>
        <w:tab w:val="left" w:pos="5040"/>
      </w:tabs>
    </w:pPr>
    <w:r>
      <w:t>PENNSYLVANIA ELECTRIC COMPANY</w:t>
    </w:r>
    <w:r>
      <w:tab/>
    </w:r>
    <w:r>
      <w:tab/>
      <w:t xml:space="preserve">Electric Pa. P.U.C. No. 81 (Supp. </w:t>
    </w:r>
    <w:r w:rsidR="00975BE6">
      <w:t>40</w:t>
    </w:r>
    <w:r>
      <w:t>)</w:t>
    </w:r>
  </w:p>
  <w:p w:rsidR="002C0197" w:rsidRDefault="002C0197" w:rsidP="003D47DA">
    <w:pPr>
      <w:pStyle w:val="Header"/>
      <w:tabs>
        <w:tab w:val="left" w:pos="5040"/>
      </w:tabs>
    </w:pPr>
    <w:r>
      <w:tab/>
    </w:r>
    <w:r>
      <w:tab/>
      <w:t>Second Revised Page 150</w:t>
    </w:r>
  </w:p>
  <w:p w:rsidR="002C0197" w:rsidRDefault="002C0197" w:rsidP="003D47DA">
    <w:pPr>
      <w:pStyle w:val="Header"/>
      <w:tabs>
        <w:tab w:val="left" w:pos="5040"/>
      </w:tabs>
    </w:pPr>
    <w:r>
      <w:tab/>
    </w:r>
    <w:r>
      <w:tab/>
      <w:t>Superseding First Revised Page 150</w:t>
    </w:r>
  </w:p>
  <w:p w:rsidR="002C0197" w:rsidRDefault="002C0197" w:rsidP="005E0F05">
    <w:pPr>
      <w:pStyle w:val="Header"/>
      <w:tabs>
        <w:tab w:val="left" w:pos="5280"/>
      </w:tabs>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97" w:rsidRDefault="002C0197" w:rsidP="003D47DA">
    <w:pPr>
      <w:pStyle w:val="Header"/>
      <w:tabs>
        <w:tab w:val="left" w:pos="5040"/>
      </w:tabs>
    </w:pPr>
    <w:r>
      <w:t>PENNSYLVANIA ELECTRIC COMPANY</w:t>
    </w:r>
    <w:r>
      <w:tab/>
    </w:r>
    <w:r>
      <w:tab/>
      <w:t xml:space="preserve">Electric Pa. P.U.C. No. 81 (Supp. </w:t>
    </w:r>
    <w:r w:rsidR="00975BE6">
      <w:t>40</w:t>
    </w:r>
    <w:r>
      <w:t>)</w:t>
    </w:r>
  </w:p>
  <w:p w:rsidR="002C0197" w:rsidRDefault="002C0197" w:rsidP="003D47DA">
    <w:pPr>
      <w:pStyle w:val="Header"/>
      <w:tabs>
        <w:tab w:val="left" w:pos="5040"/>
      </w:tabs>
    </w:pPr>
    <w:r>
      <w:tab/>
    </w:r>
    <w:r>
      <w:tab/>
      <w:t>Third Revised Page 151</w:t>
    </w:r>
  </w:p>
  <w:p w:rsidR="002C0197" w:rsidRDefault="002C0197" w:rsidP="003D47DA">
    <w:pPr>
      <w:pStyle w:val="Header"/>
      <w:tabs>
        <w:tab w:val="left" w:pos="5040"/>
      </w:tabs>
    </w:pPr>
    <w:r>
      <w:tab/>
    </w:r>
    <w:r>
      <w:tab/>
      <w:t>Superseding Second Page 151</w:t>
    </w:r>
  </w:p>
  <w:p w:rsidR="002C0197" w:rsidRDefault="002C0197" w:rsidP="005E0F05">
    <w:pPr>
      <w:pStyle w:val="Header"/>
      <w:tabs>
        <w:tab w:val="left" w:pos="5280"/>
      </w:tabs>
    </w:pPr>
    <w:r>
      <w:tab/>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97" w:rsidRDefault="002C0197" w:rsidP="003D47DA">
    <w:pPr>
      <w:pStyle w:val="Header"/>
      <w:tabs>
        <w:tab w:val="left" w:pos="5040"/>
      </w:tabs>
    </w:pPr>
    <w:r>
      <w:t>PENNSYLVANIA ELECTRIC COMPANY</w:t>
    </w:r>
    <w:r>
      <w:tab/>
    </w:r>
    <w:r>
      <w:tab/>
      <w:t xml:space="preserve">Electric Pa. P.U.C. No. 81 (Supp. </w:t>
    </w:r>
    <w:r w:rsidR="00975BE6">
      <w:t>40</w:t>
    </w:r>
    <w:r>
      <w:t>)</w:t>
    </w:r>
  </w:p>
  <w:p w:rsidR="002C0197" w:rsidRDefault="002C0197" w:rsidP="003D47DA">
    <w:pPr>
      <w:pStyle w:val="Header"/>
      <w:tabs>
        <w:tab w:val="left" w:pos="5040"/>
      </w:tabs>
    </w:pPr>
    <w:r>
      <w:tab/>
    </w:r>
    <w:r>
      <w:tab/>
      <w:t>Third Revised Page 152</w:t>
    </w:r>
  </w:p>
  <w:p w:rsidR="002C0197" w:rsidRDefault="002C0197" w:rsidP="003D47DA">
    <w:pPr>
      <w:pStyle w:val="Header"/>
      <w:tabs>
        <w:tab w:val="left" w:pos="5040"/>
      </w:tabs>
    </w:pPr>
    <w:r>
      <w:tab/>
    </w:r>
    <w:r>
      <w:tab/>
      <w:t>Superseding Second Revised Page 152</w:t>
    </w:r>
  </w:p>
  <w:p w:rsidR="002C0197" w:rsidRDefault="002C0197" w:rsidP="005E0F05">
    <w:pPr>
      <w:pStyle w:val="Header"/>
      <w:tabs>
        <w:tab w:val="left" w:pos="5280"/>
      </w:tabs>
    </w:pP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FEE" w:rsidRDefault="00C26FEE" w:rsidP="005E0F05">
    <w:pPr>
      <w:pStyle w:val="Header"/>
      <w:tabs>
        <w:tab w:val="left" w:pos="5040"/>
      </w:tabs>
    </w:pPr>
    <w:r>
      <w:t>PENNSYLVANIA ELECTRIC COMPANY</w:t>
    </w:r>
    <w:r>
      <w:tab/>
    </w:r>
    <w:r>
      <w:tab/>
      <w:t xml:space="preserve">Electric </w:t>
    </w:r>
    <w:smartTag w:uri="urn:schemas-microsoft-com:office:smarttags" w:element="place">
      <w:smartTag w:uri="urn:schemas-microsoft-com:office:smarttags" w:element="State">
        <w:r>
          <w:t>Pa.</w:t>
        </w:r>
      </w:smartTag>
    </w:smartTag>
    <w:r>
      <w:t xml:space="preserve"> P.U.C. No. 81 (Supp. </w:t>
    </w:r>
    <w:r w:rsidR="00975BE6">
      <w:t>40</w:t>
    </w:r>
    <w:r>
      <w:t>)</w:t>
    </w:r>
  </w:p>
  <w:p w:rsidR="00C26FEE" w:rsidRDefault="00C26FEE" w:rsidP="005E0F05">
    <w:pPr>
      <w:pStyle w:val="Header"/>
      <w:tabs>
        <w:tab w:val="left" w:pos="5040"/>
      </w:tabs>
    </w:pPr>
    <w:r>
      <w:tab/>
    </w:r>
    <w:r>
      <w:tab/>
    </w:r>
    <w:r w:rsidR="003D47DA">
      <w:t>Third</w:t>
    </w:r>
    <w:r>
      <w:t xml:space="preserve"> Revised Page 153</w:t>
    </w:r>
  </w:p>
  <w:p w:rsidR="00C26FEE" w:rsidRDefault="00C26FEE" w:rsidP="005E0F05">
    <w:pPr>
      <w:pStyle w:val="Header"/>
      <w:tabs>
        <w:tab w:val="left" w:pos="5040"/>
      </w:tabs>
    </w:pPr>
    <w:r>
      <w:tab/>
    </w:r>
    <w:r>
      <w:tab/>
      <w:t xml:space="preserve">Superseding </w:t>
    </w:r>
    <w:r w:rsidR="003D47DA">
      <w:t>Second</w:t>
    </w:r>
    <w:r w:rsidR="000C50FF">
      <w:t xml:space="preserve"> Revised </w:t>
    </w:r>
    <w:r>
      <w:t>Page 153</w:t>
    </w:r>
  </w:p>
  <w:p w:rsidR="00C26FEE" w:rsidRDefault="00C26FEE" w:rsidP="005E0F05">
    <w:pPr>
      <w:pStyle w:val="Header"/>
      <w:tabs>
        <w:tab w:val="left" w:pos="52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3424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BE14DC"/>
    <w:multiLevelType w:val="hybridMultilevel"/>
    <w:tmpl w:val="B0EA7E3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1C0B07D3"/>
    <w:multiLevelType w:val="hybridMultilevel"/>
    <w:tmpl w:val="38BCE162"/>
    <w:lvl w:ilvl="0" w:tplc="BC662566">
      <w:start w:val="26"/>
      <w:numFmt w:val="decimal"/>
      <w:lvlText w:val="%1"/>
      <w:lvlJc w:val="left"/>
      <w:pPr>
        <w:tabs>
          <w:tab w:val="num" w:pos="7560"/>
        </w:tabs>
        <w:ind w:left="7560" w:hanging="108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3" w15:restartNumberingAfterBreak="0">
    <w:nsid w:val="282D7A22"/>
    <w:multiLevelType w:val="hybridMultilevel"/>
    <w:tmpl w:val="97AAE15A"/>
    <w:lvl w:ilvl="0" w:tplc="EFDC94DE">
      <w:start w:val="197"/>
      <w:numFmt w:val="decimal"/>
      <w:lvlText w:val="%1"/>
      <w:lvlJc w:val="left"/>
      <w:pPr>
        <w:tabs>
          <w:tab w:val="num" w:pos="7560"/>
        </w:tabs>
        <w:ind w:left="7560" w:hanging="1170"/>
      </w:pPr>
      <w:rPr>
        <w:rFonts w:hint="default"/>
      </w:rPr>
    </w:lvl>
    <w:lvl w:ilvl="1" w:tplc="04090019" w:tentative="1">
      <w:start w:val="1"/>
      <w:numFmt w:val="lowerLetter"/>
      <w:lvlText w:val="%2."/>
      <w:lvlJc w:val="left"/>
      <w:pPr>
        <w:tabs>
          <w:tab w:val="num" w:pos="7470"/>
        </w:tabs>
        <w:ind w:left="7470" w:hanging="360"/>
      </w:pPr>
    </w:lvl>
    <w:lvl w:ilvl="2" w:tplc="0409001B" w:tentative="1">
      <w:start w:val="1"/>
      <w:numFmt w:val="lowerRoman"/>
      <w:lvlText w:val="%3."/>
      <w:lvlJc w:val="right"/>
      <w:pPr>
        <w:tabs>
          <w:tab w:val="num" w:pos="8190"/>
        </w:tabs>
        <w:ind w:left="8190" w:hanging="180"/>
      </w:pPr>
    </w:lvl>
    <w:lvl w:ilvl="3" w:tplc="0409000F" w:tentative="1">
      <w:start w:val="1"/>
      <w:numFmt w:val="decimal"/>
      <w:lvlText w:val="%4."/>
      <w:lvlJc w:val="left"/>
      <w:pPr>
        <w:tabs>
          <w:tab w:val="num" w:pos="8910"/>
        </w:tabs>
        <w:ind w:left="8910" w:hanging="360"/>
      </w:pPr>
    </w:lvl>
    <w:lvl w:ilvl="4" w:tplc="04090019" w:tentative="1">
      <w:start w:val="1"/>
      <w:numFmt w:val="lowerLetter"/>
      <w:lvlText w:val="%5."/>
      <w:lvlJc w:val="left"/>
      <w:pPr>
        <w:tabs>
          <w:tab w:val="num" w:pos="9630"/>
        </w:tabs>
        <w:ind w:left="9630" w:hanging="360"/>
      </w:pPr>
    </w:lvl>
    <w:lvl w:ilvl="5" w:tplc="0409001B" w:tentative="1">
      <w:start w:val="1"/>
      <w:numFmt w:val="lowerRoman"/>
      <w:lvlText w:val="%6."/>
      <w:lvlJc w:val="right"/>
      <w:pPr>
        <w:tabs>
          <w:tab w:val="num" w:pos="10350"/>
        </w:tabs>
        <w:ind w:left="10350" w:hanging="180"/>
      </w:pPr>
    </w:lvl>
    <w:lvl w:ilvl="6" w:tplc="0409000F" w:tentative="1">
      <w:start w:val="1"/>
      <w:numFmt w:val="decimal"/>
      <w:lvlText w:val="%7."/>
      <w:lvlJc w:val="left"/>
      <w:pPr>
        <w:tabs>
          <w:tab w:val="num" w:pos="11070"/>
        </w:tabs>
        <w:ind w:left="11070" w:hanging="360"/>
      </w:pPr>
    </w:lvl>
    <w:lvl w:ilvl="7" w:tplc="04090019" w:tentative="1">
      <w:start w:val="1"/>
      <w:numFmt w:val="lowerLetter"/>
      <w:lvlText w:val="%8."/>
      <w:lvlJc w:val="left"/>
      <w:pPr>
        <w:tabs>
          <w:tab w:val="num" w:pos="11790"/>
        </w:tabs>
        <w:ind w:left="11790" w:hanging="360"/>
      </w:pPr>
    </w:lvl>
    <w:lvl w:ilvl="8" w:tplc="0409001B" w:tentative="1">
      <w:start w:val="1"/>
      <w:numFmt w:val="lowerRoman"/>
      <w:lvlText w:val="%9."/>
      <w:lvlJc w:val="right"/>
      <w:pPr>
        <w:tabs>
          <w:tab w:val="num" w:pos="12510"/>
        </w:tabs>
        <w:ind w:left="12510" w:hanging="180"/>
      </w:pPr>
    </w:lvl>
  </w:abstractNum>
  <w:abstractNum w:abstractNumId="4" w15:restartNumberingAfterBreak="0">
    <w:nsid w:val="502157E5"/>
    <w:multiLevelType w:val="hybridMultilevel"/>
    <w:tmpl w:val="D7B84060"/>
    <w:lvl w:ilvl="0" w:tplc="15E692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5AE33EF"/>
    <w:multiLevelType w:val="hybridMultilevel"/>
    <w:tmpl w:val="2266EF7E"/>
    <w:lvl w:ilvl="0" w:tplc="81D8ACF8">
      <w:start w:val="188"/>
      <w:numFmt w:val="decimal"/>
      <w:lvlText w:val="%1"/>
      <w:lvlJc w:val="left"/>
      <w:pPr>
        <w:tabs>
          <w:tab w:val="num" w:pos="7560"/>
        </w:tabs>
        <w:ind w:left="7560" w:hanging="1170"/>
      </w:pPr>
      <w:rPr>
        <w:rFonts w:hint="default"/>
      </w:rPr>
    </w:lvl>
    <w:lvl w:ilvl="1" w:tplc="04090019" w:tentative="1">
      <w:start w:val="1"/>
      <w:numFmt w:val="lowerLetter"/>
      <w:lvlText w:val="%2."/>
      <w:lvlJc w:val="left"/>
      <w:pPr>
        <w:tabs>
          <w:tab w:val="num" w:pos="7470"/>
        </w:tabs>
        <w:ind w:left="7470" w:hanging="360"/>
      </w:pPr>
    </w:lvl>
    <w:lvl w:ilvl="2" w:tplc="0409001B" w:tentative="1">
      <w:start w:val="1"/>
      <w:numFmt w:val="lowerRoman"/>
      <w:lvlText w:val="%3."/>
      <w:lvlJc w:val="right"/>
      <w:pPr>
        <w:tabs>
          <w:tab w:val="num" w:pos="8190"/>
        </w:tabs>
        <w:ind w:left="8190" w:hanging="180"/>
      </w:pPr>
    </w:lvl>
    <w:lvl w:ilvl="3" w:tplc="0409000F" w:tentative="1">
      <w:start w:val="1"/>
      <w:numFmt w:val="decimal"/>
      <w:lvlText w:val="%4."/>
      <w:lvlJc w:val="left"/>
      <w:pPr>
        <w:tabs>
          <w:tab w:val="num" w:pos="8910"/>
        </w:tabs>
        <w:ind w:left="8910" w:hanging="360"/>
      </w:pPr>
    </w:lvl>
    <w:lvl w:ilvl="4" w:tplc="04090019" w:tentative="1">
      <w:start w:val="1"/>
      <w:numFmt w:val="lowerLetter"/>
      <w:lvlText w:val="%5."/>
      <w:lvlJc w:val="left"/>
      <w:pPr>
        <w:tabs>
          <w:tab w:val="num" w:pos="9630"/>
        </w:tabs>
        <w:ind w:left="9630" w:hanging="360"/>
      </w:pPr>
    </w:lvl>
    <w:lvl w:ilvl="5" w:tplc="0409001B" w:tentative="1">
      <w:start w:val="1"/>
      <w:numFmt w:val="lowerRoman"/>
      <w:lvlText w:val="%6."/>
      <w:lvlJc w:val="right"/>
      <w:pPr>
        <w:tabs>
          <w:tab w:val="num" w:pos="10350"/>
        </w:tabs>
        <w:ind w:left="10350" w:hanging="180"/>
      </w:pPr>
    </w:lvl>
    <w:lvl w:ilvl="6" w:tplc="0409000F" w:tentative="1">
      <w:start w:val="1"/>
      <w:numFmt w:val="decimal"/>
      <w:lvlText w:val="%7."/>
      <w:lvlJc w:val="left"/>
      <w:pPr>
        <w:tabs>
          <w:tab w:val="num" w:pos="11070"/>
        </w:tabs>
        <w:ind w:left="11070" w:hanging="360"/>
      </w:pPr>
    </w:lvl>
    <w:lvl w:ilvl="7" w:tplc="04090019" w:tentative="1">
      <w:start w:val="1"/>
      <w:numFmt w:val="lowerLetter"/>
      <w:lvlText w:val="%8."/>
      <w:lvlJc w:val="left"/>
      <w:pPr>
        <w:tabs>
          <w:tab w:val="num" w:pos="11790"/>
        </w:tabs>
        <w:ind w:left="11790" w:hanging="360"/>
      </w:pPr>
    </w:lvl>
    <w:lvl w:ilvl="8" w:tplc="0409001B" w:tentative="1">
      <w:start w:val="1"/>
      <w:numFmt w:val="lowerRoman"/>
      <w:lvlText w:val="%9."/>
      <w:lvlJc w:val="right"/>
      <w:pPr>
        <w:tabs>
          <w:tab w:val="num" w:pos="12510"/>
        </w:tabs>
        <w:ind w:left="12510" w:hanging="180"/>
      </w:pPr>
    </w:lvl>
  </w:abstractNum>
  <w:abstractNum w:abstractNumId="6" w15:restartNumberingAfterBreak="0">
    <w:nsid w:val="63272888"/>
    <w:multiLevelType w:val="hybridMultilevel"/>
    <w:tmpl w:val="A260A540"/>
    <w:lvl w:ilvl="0" w:tplc="1428C4C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A993741"/>
    <w:multiLevelType w:val="singleLevel"/>
    <w:tmpl w:val="04090001"/>
    <w:lvl w:ilvl="0">
      <w:start w:val="1"/>
      <w:numFmt w:val="bullet"/>
      <w:lvlText w:val=""/>
      <w:lvlJc w:val="left"/>
      <w:pPr>
        <w:tabs>
          <w:tab w:val="num" w:pos="3240"/>
        </w:tabs>
        <w:ind w:left="3240" w:hanging="360"/>
      </w:pPr>
      <w:rPr>
        <w:rFonts w:ascii="Symbol" w:hAnsi="Symbol" w:hint="default"/>
      </w:rPr>
    </w:lvl>
  </w:abstractNum>
  <w:abstractNum w:abstractNumId="8" w15:restartNumberingAfterBreak="0">
    <w:nsid w:val="79F20215"/>
    <w:multiLevelType w:val="hybridMultilevel"/>
    <w:tmpl w:val="89EC9AE4"/>
    <w:lvl w:ilvl="0" w:tplc="12F6D406">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 w:numId="8">
    <w:abstractNumId w:val="7"/>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836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512"/>
    <w:rsid w:val="00001440"/>
    <w:rsid w:val="00002ED9"/>
    <w:rsid w:val="0000343B"/>
    <w:rsid w:val="00006A66"/>
    <w:rsid w:val="00010408"/>
    <w:rsid w:val="00013E64"/>
    <w:rsid w:val="000203F6"/>
    <w:rsid w:val="00020BBA"/>
    <w:rsid w:val="000214B0"/>
    <w:rsid w:val="00026079"/>
    <w:rsid w:val="00026D4B"/>
    <w:rsid w:val="000327B8"/>
    <w:rsid w:val="00033EB6"/>
    <w:rsid w:val="00034E44"/>
    <w:rsid w:val="00036AAA"/>
    <w:rsid w:val="000376BB"/>
    <w:rsid w:val="0004112F"/>
    <w:rsid w:val="00041517"/>
    <w:rsid w:val="0004317F"/>
    <w:rsid w:val="00043493"/>
    <w:rsid w:val="00043B11"/>
    <w:rsid w:val="00046599"/>
    <w:rsid w:val="000465CA"/>
    <w:rsid w:val="000471F8"/>
    <w:rsid w:val="0005061C"/>
    <w:rsid w:val="00052808"/>
    <w:rsid w:val="000529DE"/>
    <w:rsid w:val="00052FA7"/>
    <w:rsid w:val="000533AD"/>
    <w:rsid w:val="0005357D"/>
    <w:rsid w:val="00053E2F"/>
    <w:rsid w:val="00054181"/>
    <w:rsid w:val="000558DC"/>
    <w:rsid w:val="0005658A"/>
    <w:rsid w:val="00060CDD"/>
    <w:rsid w:val="0006174D"/>
    <w:rsid w:val="00061DA6"/>
    <w:rsid w:val="00065A2F"/>
    <w:rsid w:val="000669FD"/>
    <w:rsid w:val="00067363"/>
    <w:rsid w:val="00070643"/>
    <w:rsid w:val="0007139C"/>
    <w:rsid w:val="000716F1"/>
    <w:rsid w:val="0007216C"/>
    <w:rsid w:val="00072A74"/>
    <w:rsid w:val="00072CAB"/>
    <w:rsid w:val="0007686A"/>
    <w:rsid w:val="00077ABF"/>
    <w:rsid w:val="000810B6"/>
    <w:rsid w:val="000811F4"/>
    <w:rsid w:val="0008166C"/>
    <w:rsid w:val="00081BBF"/>
    <w:rsid w:val="00081F90"/>
    <w:rsid w:val="00084E95"/>
    <w:rsid w:val="00086133"/>
    <w:rsid w:val="00090F31"/>
    <w:rsid w:val="00091F94"/>
    <w:rsid w:val="00093759"/>
    <w:rsid w:val="00093C67"/>
    <w:rsid w:val="000945B3"/>
    <w:rsid w:val="00095668"/>
    <w:rsid w:val="00097355"/>
    <w:rsid w:val="000A0234"/>
    <w:rsid w:val="000A1258"/>
    <w:rsid w:val="000A2323"/>
    <w:rsid w:val="000A7A04"/>
    <w:rsid w:val="000B134C"/>
    <w:rsid w:val="000B1CCC"/>
    <w:rsid w:val="000B2406"/>
    <w:rsid w:val="000B64B4"/>
    <w:rsid w:val="000B7092"/>
    <w:rsid w:val="000B7FFE"/>
    <w:rsid w:val="000C4704"/>
    <w:rsid w:val="000C50FF"/>
    <w:rsid w:val="000C57AE"/>
    <w:rsid w:val="000C60D9"/>
    <w:rsid w:val="000C7BE0"/>
    <w:rsid w:val="000C7F3A"/>
    <w:rsid w:val="000D1B32"/>
    <w:rsid w:val="000D62AA"/>
    <w:rsid w:val="000D63A7"/>
    <w:rsid w:val="000D6F9A"/>
    <w:rsid w:val="000E11E5"/>
    <w:rsid w:val="000E2D2B"/>
    <w:rsid w:val="000E2E9E"/>
    <w:rsid w:val="000E3352"/>
    <w:rsid w:val="000E5ADD"/>
    <w:rsid w:val="000E710D"/>
    <w:rsid w:val="000E75CA"/>
    <w:rsid w:val="000F0D36"/>
    <w:rsid w:val="000F219B"/>
    <w:rsid w:val="000F2F35"/>
    <w:rsid w:val="000F311D"/>
    <w:rsid w:val="000F689E"/>
    <w:rsid w:val="000F6EAD"/>
    <w:rsid w:val="000F7ACA"/>
    <w:rsid w:val="000F7ADD"/>
    <w:rsid w:val="00101915"/>
    <w:rsid w:val="00101B0E"/>
    <w:rsid w:val="00101C41"/>
    <w:rsid w:val="00102511"/>
    <w:rsid w:val="00103671"/>
    <w:rsid w:val="00106620"/>
    <w:rsid w:val="00110048"/>
    <w:rsid w:val="001100BF"/>
    <w:rsid w:val="001154F5"/>
    <w:rsid w:val="001160DC"/>
    <w:rsid w:val="001165F4"/>
    <w:rsid w:val="001177B9"/>
    <w:rsid w:val="00120BFE"/>
    <w:rsid w:val="00120DD3"/>
    <w:rsid w:val="00123C31"/>
    <w:rsid w:val="00125640"/>
    <w:rsid w:val="001258AC"/>
    <w:rsid w:val="00125FBA"/>
    <w:rsid w:val="0012719C"/>
    <w:rsid w:val="00131A57"/>
    <w:rsid w:val="00137D71"/>
    <w:rsid w:val="00137E7D"/>
    <w:rsid w:val="00141DC5"/>
    <w:rsid w:val="00142D58"/>
    <w:rsid w:val="00145A59"/>
    <w:rsid w:val="001544E1"/>
    <w:rsid w:val="00156274"/>
    <w:rsid w:val="00156E59"/>
    <w:rsid w:val="00157917"/>
    <w:rsid w:val="00161E8E"/>
    <w:rsid w:val="00161FA4"/>
    <w:rsid w:val="00164EDF"/>
    <w:rsid w:val="00165097"/>
    <w:rsid w:val="00165FF2"/>
    <w:rsid w:val="00167869"/>
    <w:rsid w:val="00167ACA"/>
    <w:rsid w:val="00172359"/>
    <w:rsid w:val="0017269F"/>
    <w:rsid w:val="0017367E"/>
    <w:rsid w:val="00174F9C"/>
    <w:rsid w:val="00177D67"/>
    <w:rsid w:val="001821F1"/>
    <w:rsid w:val="0018239A"/>
    <w:rsid w:val="00183025"/>
    <w:rsid w:val="00185091"/>
    <w:rsid w:val="00185300"/>
    <w:rsid w:val="00185879"/>
    <w:rsid w:val="001902ED"/>
    <w:rsid w:val="00190683"/>
    <w:rsid w:val="00193302"/>
    <w:rsid w:val="00194068"/>
    <w:rsid w:val="0019583C"/>
    <w:rsid w:val="0019752C"/>
    <w:rsid w:val="00197937"/>
    <w:rsid w:val="001A01D6"/>
    <w:rsid w:val="001A0BB2"/>
    <w:rsid w:val="001A1D92"/>
    <w:rsid w:val="001A3624"/>
    <w:rsid w:val="001A5440"/>
    <w:rsid w:val="001A5BE3"/>
    <w:rsid w:val="001A7977"/>
    <w:rsid w:val="001A7E47"/>
    <w:rsid w:val="001B0176"/>
    <w:rsid w:val="001B0AF2"/>
    <w:rsid w:val="001B0B2D"/>
    <w:rsid w:val="001B62BD"/>
    <w:rsid w:val="001B6C7E"/>
    <w:rsid w:val="001C7036"/>
    <w:rsid w:val="001D16B8"/>
    <w:rsid w:val="001D1C18"/>
    <w:rsid w:val="001D44F0"/>
    <w:rsid w:val="001D7EFA"/>
    <w:rsid w:val="001E09F7"/>
    <w:rsid w:val="001E5DA9"/>
    <w:rsid w:val="001E5F89"/>
    <w:rsid w:val="001E605F"/>
    <w:rsid w:val="001F34AC"/>
    <w:rsid w:val="001F4204"/>
    <w:rsid w:val="001F4768"/>
    <w:rsid w:val="00200496"/>
    <w:rsid w:val="00200549"/>
    <w:rsid w:val="002023EC"/>
    <w:rsid w:val="00203A07"/>
    <w:rsid w:val="00205EAC"/>
    <w:rsid w:val="0021030A"/>
    <w:rsid w:val="002127A2"/>
    <w:rsid w:val="00214509"/>
    <w:rsid w:val="00214AAD"/>
    <w:rsid w:val="002158F8"/>
    <w:rsid w:val="00216FFA"/>
    <w:rsid w:val="00220861"/>
    <w:rsid w:val="00221540"/>
    <w:rsid w:val="00222878"/>
    <w:rsid w:val="00224A9A"/>
    <w:rsid w:val="00230650"/>
    <w:rsid w:val="00230AD3"/>
    <w:rsid w:val="002339BE"/>
    <w:rsid w:val="00234B21"/>
    <w:rsid w:val="00240287"/>
    <w:rsid w:val="00242745"/>
    <w:rsid w:val="00242E6B"/>
    <w:rsid w:val="00244219"/>
    <w:rsid w:val="0024673E"/>
    <w:rsid w:val="00246B5C"/>
    <w:rsid w:val="00251975"/>
    <w:rsid w:val="0025514F"/>
    <w:rsid w:val="00255CFC"/>
    <w:rsid w:val="002561D8"/>
    <w:rsid w:val="00256B6E"/>
    <w:rsid w:val="00257DCD"/>
    <w:rsid w:val="00261856"/>
    <w:rsid w:val="00263338"/>
    <w:rsid w:val="00263528"/>
    <w:rsid w:val="00263913"/>
    <w:rsid w:val="0026483D"/>
    <w:rsid w:val="00264E92"/>
    <w:rsid w:val="00265427"/>
    <w:rsid w:val="00266A34"/>
    <w:rsid w:val="00267CE4"/>
    <w:rsid w:val="0027044D"/>
    <w:rsid w:val="0027249E"/>
    <w:rsid w:val="00272EB1"/>
    <w:rsid w:val="00274BE4"/>
    <w:rsid w:val="0027529D"/>
    <w:rsid w:val="0028063A"/>
    <w:rsid w:val="00280702"/>
    <w:rsid w:val="0028121C"/>
    <w:rsid w:val="002817B0"/>
    <w:rsid w:val="0028307B"/>
    <w:rsid w:val="002844BF"/>
    <w:rsid w:val="002902BB"/>
    <w:rsid w:val="002908A6"/>
    <w:rsid w:val="002915AF"/>
    <w:rsid w:val="002915ED"/>
    <w:rsid w:val="00292018"/>
    <w:rsid w:val="0029271C"/>
    <w:rsid w:val="002954B1"/>
    <w:rsid w:val="00297BE3"/>
    <w:rsid w:val="002A2FF5"/>
    <w:rsid w:val="002A3312"/>
    <w:rsid w:val="002A469C"/>
    <w:rsid w:val="002A5CA4"/>
    <w:rsid w:val="002A6816"/>
    <w:rsid w:val="002A73B2"/>
    <w:rsid w:val="002B09B9"/>
    <w:rsid w:val="002B1F53"/>
    <w:rsid w:val="002B390A"/>
    <w:rsid w:val="002B73B1"/>
    <w:rsid w:val="002C0197"/>
    <w:rsid w:val="002C114B"/>
    <w:rsid w:val="002C17C2"/>
    <w:rsid w:val="002C66FC"/>
    <w:rsid w:val="002C681E"/>
    <w:rsid w:val="002D0D41"/>
    <w:rsid w:val="002D4A21"/>
    <w:rsid w:val="002D5710"/>
    <w:rsid w:val="002D5A5F"/>
    <w:rsid w:val="002D5BAD"/>
    <w:rsid w:val="002D60FB"/>
    <w:rsid w:val="002D66C5"/>
    <w:rsid w:val="002D6970"/>
    <w:rsid w:val="002D6B25"/>
    <w:rsid w:val="002D6CE5"/>
    <w:rsid w:val="002E1F9C"/>
    <w:rsid w:val="002E287A"/>
    <w:rsid w:val="002E3EA9"/>
    <w:rsid w:val="002E5D20"/>
    <w:rsid w:val="002F1695"/>
    <w:rsid w:val="002F3212"/>
    <w:rsid w:val="002F47EA"/>
    <w:rsid w:val="002F48BF"/>
    <w:rsid w:val="002F528B"/>
    <w:rsid w:val="002F798A"/>
    <w:rsid w:val="0030041B"/>
    <w:rsid w:val="00300686"/>
    <w:rsid w:val="0030733F"/>
    <w:rsid w:val="00307E43"/>
    <w:rsid w:val="00310FE9"/>
    <w:rsid w:val="00313F51"/>
    <w:rsid w:val="003140A1"/>
    <w:rsid w:val="00316295"/>
    <w:rsid w:val="003167DC"/>
    <w:rsid w:val="0032298E"/>
    <w:rsid w:val="00323076"/>
    <w:rsid w:val="0032488E"/>
    <w:rsid w:val="00326529"/>
    <w:rsid w:val="0033067A"/>
    <w:rsid w:val="00330AF7"/>
    <w:rsid w:val="00331375"/>
    <w:rsid w:val="00333041"/>
    <w:rsid w:val="00334EBD"/>
    <w:rsid w:val="00335D4C"/>
    <w:rsid w:val="00337AD0"/>
    <w:rsid w:val="003410C0"/>
    <w:rsid w:val="00341A42"/>
    <w:rsid w:val="00341BBD"/>
    <w:rsid w:val="0034220B"/>
    <w:rsid w:val="00342B29"/>
    <w:rsid w:val="003440E7"/>
    <w:rsid w:val="003463C3"/>
    <w:rsid w:val="00346868"/>
    <w:rsid w:val="0035023E"/>
    <w:rsid w:val="003507E5"/>
    <w:rsid w:val="0035525D"/>
    <w:rsid w:val="00357D3C"/>
    <w:rsid w:val="0036044F"/>
    <w:rsid w:val="003607BF"/>
    <w:rsid w:val="00361076"/>
    <w:rsid w:val="00362149"/>
    <w:rsid w:val="003635BB"/>
    <w:rsid w:val="00370AC9"/>
    <w:rsid w:val="003714D1"/>
    <w:rsid w:val="00373005"/>
    <w:rsid w:val="003736E9"/>
    <w:rsid w:val="00373C95"/>
    <w:rsid w:val="003745A6"/>
    <w:rsid w:val="003749F5"/>
    <w:rsid w:val="00377C3F"/>
    <w:rsid w:val="003803CB"/>
    <w:rsid w:val="003841DF"/>
    <w:rsid w:val="00384AD1"/>
    <w:rsid w:val="00384BF7"/>
    <w:rsid w:val="003854D1"/>
    <w:rsid w:val="00385806"/>
    <w:rsid w:val="003979B8"/>
    <w:rsid w:val="003A06F3"/>
    <w:rsid w:val="003A19CB"/>
    <w:rsid w:val="003A28A6"/>
    <w:rsid w:val="003A3681"/>
    <w:rsid w:val="003A3DE8"/>
    <w:rsid w:val="003A45C8"/>
    <w:rsid w:val="003A4B32"/>
    <w:rsid w:val="003A692A"/>
    <w:rsid w:val="003A6CD0"/>
    <w:rsid w:val="003B0E24"/>
    <w:rsid w:val="003B1387"/>
    <w:rsid w:val="003B48AF"/>
    <w:rsid w:val="003B5174"/>
    <w:rsid w:val="003B73F4"/>
    <w:rsid w:val="003B7DA8"/>
    <w:rsid w:val="003B7FA8"/>
    <w:rsid w:val="003C0B99"/>
    <w:rsid w:val="003C22A0"/>
    <w:rsid w:val="003C2436"/>
    <w:rsid w:val="003C35AF"/>
    <w:rsid w:val="003C3FBA"/>
    <w:rsid w:val="003C4AAA"/>
    <w:rsid w:val="003C4AB7"/>
    <w:rsid w:val="003C5684"/>
    <w:rsid w:val="003C6829"/>
    <w:rsid w:val="003C6978"/>
    <w:rsid w:val="003D14BF"/>
    <w:rsid w:val="003D24E9"/>
    <w:rsid w:val="003D30D6"/>
    <w:rsid w:val="003D44EB"/>
    <w:rsid w:val="003D47DA"/>
    <w:rsid w:val="003D52B7"/>
    <w:rsid w:val="003E066D"/>
    <w:rsid w:val="003E1D6E"/>
    <w:rsid w:val="003E3714"/>
    <w:rsid w:val="003E38FC"/>
    <w:rsid w:val="003E3EF7"/>
    <w:rsid w:val="003E4B27"/>
    <w:rsid w:val="003E5232"/>
    <w:rsid w:val="003E683F"/>
    <w:rsid w:val="003E6DD1"/>
    <w:rsid w:val="003F0816"/>
    <w:rsid w:val="003F3AFF"/>
    <w:rsid w:val="003F3B9C"/>
    <w:rsid w:val="003F3F7F"/>
    <w:rsid w:val="003F73EE"/>
    <w:rsid w:val="003F7951"/>
    <w:rsid w:val="004002C0"/>
    <w:rsid w:val="0040065B"/>
    <w:rsid w:val="00401D2E"/>
    <w:rsid w:val="00401EC6"/>
    <w:rsid w:val="004026BF"/>
    <w:rsid w:val="00403E48"/>
    <w:rsid w:val="004065DD"/>
    <w:rsid w:val="00412E99"/>
    <w:rsid w:val="00412F69"/>
    <w:rsid w:val="00413872"/>
    <w:rsid w:val="00415921"/>
    <w:rsid w:val="00416C42"/>
    <w:rsid w:val="004200F8"/>
    <w:rsid w:val="00422B7E"/>
    <w:rsid w:val="00423EA6"/>
    <w:rsid w:val="00425405"/>
    <w:rsid w:val="00426BCA"/>
    <w:rsid w:val="00426FC8"/>
    <w:rsid w:val="00430971"/>
    <w:rsid w:val="00431737"/>
    <w:rsid w:val="004319AA"/>
    <w:rsid w:val="00432730"/>
    <w:rsid w:val="0043393F"/>
    <w:rsid w:val="00433C6E"/>
    <w:rsid w:val="00433EE9"/>
    <w:rsid w:val="00434E43"/>
    <w:rsid w:val="0043589D"/>
    <w:rsid w:val="004410A9"/>
    <w:rsid w:val="00442014"/>
    <w:rsid w:val="00445AC1"/>
    <w:rsid w:val="00445F44"/>
    <w:rsid w:val="0044734A"/>
    <w:rsid w:val="0045021A"/>
    <w:rsid w:val="00452F89"/>
    <w:rsid w:val="00453314"/>
    <w:rsid w:val="0045332D"/>
    <w:rsid w:val="00463B60"/>
    <w:rsid w:val="00463C07"/>
    <w:rsid w:val="00464CC1"/>
    <w:rsid w:val="00465D7B"/>
    <w:rsid w:val="0046683B"/>
    <w:rsid w:val="00470AC5"/>
    <w:rsid w:val="00470D48"/>
    <w:rsid w:val="00472A2D"/>
    <w:rsid w:val="00473E68"/>
    <w:rsid w:val="00474B40"/>
    <w:rsid w:val="00476348"/>
    <w:rsid w:val="0047796C"/>
    <w:rsid w:val="00480B08"/>
    <w:rsid w:val="00485222"/>
    <w:rsid w:val="00486711"/>
    <w:rsid w:val="00487853"/>
    <w:rsid w:val="00490A36"/>
    <w:rsid w:val="0049128F"/>
    <w:rsid w:val="0049169D"/>
    <w:rsid w:val="00491975"/>
    <w:rsid w:val="00491E22"/>
    <w:rsid w:val="00493890"/>
    <w:rsid w:val="00495B4C"/>
    <w:rsid w:val="00497087"/>
    <w:rsid w:val="004A1948"/>
    <w:rsid w:val="004B1F77"/>
    <w:rsid w:val="004B27B3"/>
    <w:rsid w:val="004B4C8C"/>
    <w:rsid w:val="004B5A50"/>
    <w:rsid w:val="004B60EA"/>
    <w:rsid w:val="004B6B65"/>
    <w:rsid w:val="004B6BE0"/>
    <w:rsid w:val="004B6D89"/>
    <w:rsid w:val="004C118A"/>
    <w:rsid w:val="004C28DA"/>
    <w:rsid w:val="004C3488"/>
    <w:rsid w:val="004C4869"/>
    <w:rsid w:val="004C5FFB"/>
    <w:rsid w:val="004C6CD3"/>
    <w:rsid w:val="004C6E6F"/>
    <w:rsid w:val="004D17B5"/>
    <w:rsid w:val="004D1F12"/>
    <w:rsid w:val="004D271D"/>
    <w:rsid w:val="004D339E"/>
    <w:rsid w:val="004D3C5A"/>
    <w:rsid w:val="004D53E6"/>
    <w:rsid w:val="004D5E30"/>
    <w:rsid w:val="004D7E90"/>
    <w:rsid w:val="004E0B08"/>
    <w:rsid w:val="004E5FE4"/>
    <w:rsid w:val="004F256C"/>
    <w:rsid w:val="004F373F"/>
    <w:rsid w:val="004F47D3"/>
    <w:rsid w:val="004F6D0B"/>
    <w:rsid w:val="004F774D"/>
    <w:rsid w:val="00500278"/>
    <w:rsid w:val="005009F9"/>
    <w:rsid w:val="0050371D"/>
    <w:rsid w:val="00504894"/>
    <w:rsid w:val="00507166"/>
    <w:rsid w:val="005075F3"/>
    <w:rsid w:val="005104DD"/>
    <w:rsid w:val="005123C3"/>
    <w:rsid w:val="00517F80"/>
    <w:rsid w:val="00521023"/>
    <w:rsid w:val="00521E0D"/>
    <w:rsid w:val="005236AD"/>
    <w:rsid w:val="00523714"/>
    <w:rsid w:val="00523CF2"/>
    <w:rsid w:val="00527F55"/>
    <w:rsid w:val="0053096B"/>
    <w:rsid w:val="0053129C"/>
    <w:rsid w:val="00531708"/>
    <w:rsid w:val="00532AAB"/>
    <w:rsid w:val="00532BE3"/>
    <w:rsid w:val="00534C83"/>
    <w:rsid w:val="00535A8F"/>
    <w:rsid w:val="00535F96"/>
    <w:rsid w:val="005360F8"/>
    <w:rsid w:val="00540BDC"/>
    <w:rsid w:val="00541339"/>
    <w:rsid w:val="00541402"/>
    <w:rsid w:val="005428BB"/>
    <w:rsid w:val="00542989"/>
    <w:rsid w:val="00544D22"/>
    <w:rsid w:val="0054620B"/>
    <w:rsid w:val="00547371"/>
    <w:rsid w:val="005506D1"/>
    <w:rsid w:val="005511F2"/>
    <w:rsid w:val="00551894"/>
    <w:rsid w:val="0055301B"/>
    <w:rsid w:val="005530C5"/>
    <w:rsid w:val="00565DE0"/>
    <w:rsid w:val="005662F8"/>
    <w:rsid w:val="00566348"/>
    <w:rsid w:val="005671D6"/>
    <w:rsid w:val="00570EB9"/>
    <w:rsid w:val="00574EE1"/>
    <w:rsid w:val="005765FF"/>
    <w:rsid w:val="00580ACA"/>
    <w:rsid w:val="005811D9"/>
    <w:rsid w:val="00581593"/>
    <w:rsid w:val="0058275B"/>
    <w:rsid w:val="0058388B"/>
    <w:rsid w:val="00584DE2"/>
    <w:rsid w:val="0058532D"/>
    <w:rsid w:val="0058583C"/>
    <w:rsid w:val="00586A0E"/>
    <w:rsid w:val="0058764D"/>
    <w:rsid w:val="005909B4"/>
    <w:rsid w:val="005918F9"/>
    <w:rsid w:val="00592612"/>
    <w:rsid w:val="00593602"/>
    <w:rsid w:val="00593A41"/>
    <w:rsid w:val="00596174"/>
    <w:rsid w:val="005A1F46"/>
    <w:rsid w:val="005A2F84"/>
    <w:rsid w:val="005A4832"/>
    <w:rsid w:val="005A5BD6"/>
    <w:rsid w:val="005A62AB"/>
    <w:rsid w:val="005A6B1C"/>
    <w:rsid w:val="005B0388"/>
    <w:rsid w:val="005B51D3"/>
    <w:rsid w:val="005B53FC"/>
    <w:rsid w:val="005B7EB4"/>
    <w:rsid w:val="005C1287"/>
    <w:rsid w:val="005C2019"/>
    <w:rsid w:val="005C3B79"/>
    <w:rsid w:val="005C41FE"/>
    <w:rsid w:val="005D31DC"/>
    <w:rsid w:val="005D3CE3"/>
    <w:rsid w:val="005D4660"/>
    <w:rsid w:val="005D5A21"/>
    <w:rsid w:val="005D683F"/>
    <w:rsid w:val="005D73A6"/>
    <w:rsid w:val="005E00B0"/>
    <w:rsid w:val="005E0F05"/>
    <w:rsid w:val="005E100C"/>
    <w:rsid w:val="005E19FD"/>
    <w:rsid w:val="005E1DF5"/>
    <w:rsid w:val="005E1FB8"/>
    <w:rsid w:val="005E2F61"/>
    <w:rsid w:val="005E359D"/>
    <w:rsid w:val="005E3D0F"/>
    <w:rsid w:val="005F19FA"/>
    <w:rsid w:val="005F1B47"/>
    <w:rsid w:val="005F5ED0"/>
    <w:rsid w:val="006009DC"/>
    <w:rsid w:val="00601B3F"/>
    <w:rsid w:val="00602698"/>
    <w:rsid w:val="006026E4"/>
    <w:rsid w:val="0060295B"/>
    <w:rsid w:val="00602C8F"/>
    <w:rsid w:val="00605F25"/>
    <w:rsid w:val="0061286E"/>
    <w:rsid w:val="00612D19"/>
    <w:rsid w:val="00620AD0"/>
    <w:rsid w:val="0062242B"/>
    <w:rsid w:val="006255D4"/>
    <w:rsid w:val="00632681"/>
    <w:rsid w:val="006337A1"/>
    <w:rsid w:val="00634F19"/>
    <w:rsid w:val="00635E17"/>
    <w:rsid w:val="006375CA"/>
    <w:rsid w:val="00637CBA"/>
    <w:rsid w:val="00640D6F"/>
    <w:rsid w:val="006463A4"/>
    <w:rsid w:val="006474FC"/>
    <w:rsid w:val="00647D6A"/>
    <w:rsid w:val="006510F2"/>
    <w:rsid w:val="00655633"/>
    <w:rsid w:val="006566B3"/>
    <w:rsid w:val="00661E8E"/>
    <w:rsid w:val="00661EBF"/>
    <w:rsid w:val="00670D2E"/>
    <w:rsid w:val="006749EE"/>
    <w:rsid w:val="006751B8"/>
    <w:rsid w:val="00675C1F"/>
    <w:rsid w:val="00676507"/>
    <w:rsid w:val="006803D0"/>
    <w:rsid w:val="00682959"/>
    <w:rsid w:val="00682AE5"/>
    <w:rsid w:val="00682B89"/>
    <w:rsid w:val="00685FA5"/>
    <w:rsid w:val="00687D62"/>
    <w:rsid w:val="00687FF3"/>
    <w:rsid w:val="00690C08"/>
    <w:rsid w:val="00690C0D"/>
    <w:rsid w:val="006916CB"/>
    <w:rsid w:val="00692804"/>
    <w:rsid w:val="00693994"/>
    <w:rsid w:val="00694033"/>
    <w:rsid w:val="006944D6"/>
    <w:rsid w:val="00694EF9"/>
    <w:rsid w:val="00695111"/>
    <w:rsid w:val="006A093E"/>
    <w:rsid w:val="006A3652"/>
    <w:rsid w:val="006A45D8"/>
    <w:rsid w:val="006A4A26"/>
    <w:rsid w:val="006A55BD"/>
    <w:rsid w:val="006A6AD7"/>
    <w:rsid w:val="006A75C5"/>
    <w:rsid w:val="006B20EB"/>
    <w:rsid w:val="006B2506"/>
    <w:rsid w:val="006B284C"/>
    <w:rsid w:val="006B2BF7"/>
    <w:rsid w:val="006B3DB6"/>
    <w:rsid w:val="006B4E7D"/>
    <w:rsid w:val="006B4EE7"/>
    <w:rsid w:val="006B53EA"/>
    <w:rsid w:val="006B57E6"/>
    <w:rsid w:val="006B7800"/>
    <w:rsid w:val="006C008B"/>
    <w:rsid w:val="006C426E"/>
    <w:rsid w:val="006C53BC"/>
    <w:rsid w:val="006C60FF"/>
    <w:rsid w:val="006C6BDE"/>
    <w:rsid w:val="006C78D3"/>
    <w:rsid w:val="006D017E"/>
    <w:rsid w:val="006D0556"/>
    <w:rsid w:val="006D0FC0"/>
    <w:rsid w:val="006D4E4E"/>
    <w:rsid w:val="006D740C"/>
    <w:rsid w:val="006E09D3"/>
    <w:rsid w:val="006E4016"/>
    <w:rsid w:val="006E4759"/>
    <w:rsid w:val="006E5EF2"/>
    <w:rsid w:val="006E633C"/>
    <w:rsid w:val="006E7CAF"/>
    <w:rsid w:val="006F03C0"/>
    <w:rsid w:val="006F0AA9"/>
    <w:rsid w:val="006F0ACD"/>
    <w:rsid w:val="006F1741"/>
    <w:rsid w:val="006F21DB"/>
    <w:rsid w:val="006F2512"/>
    <w:rsid w:val="006F2DD5"/>
    <w:rsid w:val="006F3744"/>
    <w:rsid w:val="006F3FCC"/>
    <w:rsid w:val="006F718E"/>
    <w:rsid w:val="00700574"/>
    <w:rsid w:val="00700700"/>
    <w:rsid w:val="00700D77"/>
    <w:rsid w:val="00701CBD"/>
    <w:rsid w:val="00701EFA"/>
    <w:rsid w:val="007023EF"/>
    <w:rsid w:val="00704CF3"/>
    <w:rsid w:val="00706784"/>
    <w:rsid w:val="007078A4"/>
    <w:rsid w:val="00707C3E"/>
    <w:rsid w:val="00707C82"/>
    <w:rsid w:val="0071402F"/>
    <w:rsid w:val="00716CAB"/>
    <w:rsid w:val="00717D48"/>
    <w:rsid w:val="007227A8"/>
    <w:rsid w:val="00723942"/>
    <w:rsid w:val="00723CB1"/>
    <w:rsid w:val="0072439A"/>
    <w:rsid w:val="00724C25"/>
    <w:rsid w:val="0073045C"/>
    <w:rsid w:val="00736BD7"/>
    <w:rsid w:val="00740E32"/>
    <w:rsid w:val="00741998"/>
    <w:rsid w:val="0074573A"/>
    <w:rsid w:val="00745B71"/>
    <w:rsid w:val="0075550E"/>
    <w:rsid w:val="00755B81"/>
    <w:rsid w:val="00757E13"/>
    <w:rsid w:val="007608FA"/>
    <w:rsid w:val="00760DAF"/>
    <w:rsid w:val="00763F69"/>
    <w:rsid w:val="00764015"/>
    <w:rsid w:val="007673AD"/>
    <w:rsid w:val="0077312D"/>
    <w:rsid w:val="00773EF2"/>
    <w:rsid w:val="00774BCC"/>
    <w:rsid w:val="007756EB"/>
    <w:rsid w:val="00775D80"/>
    <w:rsid w:val="007762EC"/>
    <w:rsid w:val="00782257"/>
    <w:rsid w:val="0078373D"/>
    <w:rsid w:val="007856BB"/>
    <w:rsid w:val="00785AB8"/>
    <w:rsid w:val="00785E91"/>
    <w:rsid w:val="00786F8B"/>
    <w:rsid w:val="00791C5E"/>
    <w:rsid w:val="00792657"/>
    <w:rsid w:val="00792B9A"/>
    <w:rsid w:val="00792F7B"/>
    <w:rsid w:val="007932E4"/>
    <w:rsid w:val="00794E9C"/>
    <w:rsid w:val="007963B9"/>
    <w:rsid w:val="00797794"/>
    <w:rsid w:val="007A21B6"/>
    <w:rsid w:val="007A3EEF"/>
    <w:rsid w:val="007B1CBD"/>
    <w:rsid w:val="007B2367"/>
    <w:rsid w:val="007B374A"/>
    <w:rsid w:val="007B436F"/>
    <w:rsid w:val="007B502D"/>
    <w:rsid w:val="007B50E6"/>
    <w:rsid w:val="007B638E"/>
    <w:rsid w:val="007C01C3"/>
    <w:rsid w:val="007C177F"/>
    <w:rsid w:val="007C18C7"/>
    <w:rsid w:val="007C35EB"/>
    <w:rsid w:val="007C409E"/>
    <w:rsid w:val="007C7979"/>
    <w:rsid w:val="007D082F"/>
    <w:rsid w:val="007D14C6"/>
    <w:rsid w:val="007D5E52"/>
    <w:rsid w:val="007D60C0"/>
    <w:rsid w:val="007D6D00"/>
    <w:rsid w:val="007E3A6F"/>
    <w:rsid w:val="007E5F57"/>
    <w:rsid w:val="007E77B0"/>
    <w:rsid w:val="007F0923"/>
    <w:rsid w:val="007F1591"/>
    <w:rsid w:val="007F3A38"/>
    <w:rsid w:val="007F3D0E"/>
    <w:rsid w:val="007F7FE2"/>
    <w:rsid w:val="00801FD1"/>
    <w:rsid w:val="008021B8"/>
    <w:rsid w:val="008028E4"/>
    <w:rsid w:val="00802BE5"/>
    <w:rsid w:val="0080350D"/>
    <w:rsid w:val="008036E4"/>
    <w:rsid w:val="008045EF"/>
    <w:rsid w:val="00804D12"/>
    <w:rsid w:val="00807F1B"/>
    <w:rsid w:val="00810A2F"/>
    <w:rsid w:val="00811093"/>
    <w:rsid w:val="00812DB0"/>
    <w:rsid w:val="00813ADF"/>
    <w:rsid w:val="0082000D"/>
    <w:rsid w:val="0082013D"/>
    <w:rsid w:val="0082168B"/>
    <w:rsid w:val="00821708"/>
    <w:rsid w:val="008233BE"/>
    <w:rsid w:val="008254A8"/>
    <w:rsid w:val="008262D1"/>
    <w:rsid w:val="00826D69"/>
    <w:rsid w:val="00831790"/>
    <w:rsid w:val="00832848"/>
    <w:rsid w:val="00836690"/>
    <w:rsid w:val="00836840"/>
    <w:rsid w:val="00841B55"/>
    <w:rsid w:val="00841F62"/>
    <w:rsid w:val="008423A1"/>
    <w:rsid w:val="008435F3"/>
    <w:rsid w:val="00843998"/>
    <w:rsid w:val="008446E4"/>
    <w:rsid w:val="00846971"/>
    <w:rsid w:val="008471E9"/>
    <w:rsid w:val="00850394"/>
    <w:rsid w:val="00851C0C"/>
    <w:rsid w:val="00852B95"/>
    <w:rsid w:val="00852C4D"/>
    <w:rsid w:val="0085314A"/>
    <w:rsid w:val="00854E32"/>
    <w:rsid w:val="00855333"/>
    <w:rsid w:val="00856C6E"/>
    <w:rsid w:val="00856F3B"/>
    <w:rsid w:val="008573D6"/>
    <w:rsid w:val="008608BF"/>
    <w:rsid w:val="0086332D"/>
    <w:rsid w:val="008635C0"/>
    <w:rsid w:val="00872C4D"/>
    <w:rsid w:val="00873A39"/>
    <w:rsid w:val="00875825"/>
    <w:rsid w:val="008804BE"/>
    <w:rsid w:val="00880AEC"/>
    <w:rsid w:val="008815E5"/>
    <w:rsid w:val="0088161C"/>
    <w:rsid w:val="00881C4F"/>
    <w:rsid w:val="00882F71"/>
    <w:rsid w:val="008870B9"/>
    <w:rsid w:val="008874B9"/>
    <w:rsid w:val="00890BF7"/>
    <w:rsid w:val="0089257B"/>
    <w:rsid w:val="0089268E"/>
    <w:rsid w:val="008926B1"/>
    <w:rsid w:val="00892D89"/>
    <w:rsid w:val="008A3545"/>
    <w:rsid w:val="008A4BFE"/>
    <w:rsid w:val="008A59E2"/>
    <w:rsid w:val="008A74B1"/>
    <w:rsid w:val="008A7974"/>
    <w:rsid w:val="008B019D"/>
    <w:rsid w:val="008B1F7B"/>
    <w:rsid w:val="008B495E"/>
    <w:rsid w:val="008B5DCD"/>
    <w:rsid w:val="008B6D62"/>
    <w:rsid w:val="008B7C3D"/>
    <w:rsid w:val="008C1586"/>
    <w:rsid w:val="008C190F"/>
    <w:rsid w:val="008C25F6"/>
    <w:rsid w:val="008C5515"/>
    <w:rsid w:val="008C6232"/>
    <w:rsid w:val="008C67DB"/>
    <w:rsid w:val="008D43D0"/>
    <w:rsid w:val="008D45F1"/>
    <w:rsid w:val="008D7406"/>
    <w:rsid w:val="008E0611"/>
    <w:rsid w:val="008E1556"/>
    <w:rsid w:val="008E1C40"/>
    <w:rsid w:val="008E2AD5"/>
    <w:rsid w:val="008E3A68"/>
    <w:rsid w:val="008E4F48"/>
    <w:rsid w:val="008E75D2"/>
    <w:rsid w:val="008E76C2"/>
    <w:rsid w:val="008F0F40"/>
    <w:rsid w:val="008F3561"/>
    <w:rsid w:val="008F5029"/>
    <w:rsid w:val="008F544F"/>
    <w:rsid w:val="008F625E"/>
    <w:rsid w:val="008F63DE"/>
    <w:rsid w:val="008F7470"/>
    <w:rsid w:val="008F7ECE"/>
    <w:rsid w:val="0090051C"/>
    <w:rsid w:val="00901B61"/>
    <w:rsid w:val="00904DFE"/>
    <w:rsid w:val="009066C4"/>
    <w:rsid w:val="009072BE"/>
    <w:rsid w:val="00910E75"/>
    <w:rsid w:val="009120A1"/>
    <w:rsid w:val="00914B4D"/>
    <w:rsid w:val="00921837"/>
    <w:rsid w:val="009218A6"/>
    <w:rsid w:val="009219BF"/>
    <w:rsid w:val="00925548"/>
    <w:rsid w:val="00926ECB"/>
    <w:rsid w:val="00930A72"/>
    <w:rsid w:val="009312E0"/>
    <w:rsid w:val="0093131C"/>
    <w:rsid w:val="009317B9"/>
    <w:rsid w:val="00932893"/>
    <w:rsid w:val="00933DFE"/>
    <w:rsid w:val="00935BA1"/>
    <w:rsid w:val="0093769D"/>
    <w:rsid w:val="009415F7"/>
    <w:rsid w:val="0094178F"/>
    <w:rsid w:val="00942778"/>
    <w:rsid w:val="00942FAF"/>
    <w:rsid w:val="00945CC7"/>
    <w:rsid w:val="00946AD4"/>
    <w:rsid w:val="00947F61"/>
    <w:rsid w:val="00951C62"/>
    <w:rsid w:val="00952B56"/>
    <w:rsid w:val="00952C14"/>
    <w:rsid w:val="009532C4"/>
    <w:rsid w:val="00957B36"/>
    <w:rsid w:val="009605BD"/>
    <w:rsid w:val="00960EAD"/>
    <w:rsid w:val="00961354"/>
    <w:rsid w:val="0096326D"/>
    <w:rsid w:val="00963F47"/>
    <w:rsid w:val="00964011"/>
    <w:rsid w:val="009658C5"/>
    <w:rsid w:val="00965B90"/>
    <w:rsid w:val="00967F97"/>
    <w:rsid w:val="009756F9"/>
    <w:rsid w:val="00975BE6"/>
    <w:rsid w:val="00976399"/>
    <w:rsid w:val="00977C10"/>
    <w:rsid w:val="00980679"/>
    <w:rsid w:val="0098090C"/>
    <w:rsid w:val="00980CEC"/>
    <w:rsid w:val="00984E71"/>
    <w:rsid w:val="00991634"/>
    <w:rsid w:val="00994907"/>
    <w:rsid w:val="00994CE8"/>
    <w:rsid w:val="0099513D"/>
    <w:rsid w:val="009955F4"/>
    <w:rsid w:val="0099626F"/>
    <w:rsid w:val="00996456"/>
    <w:rsid w:val="009A1521"/>
    <w:rsid w:val="009A23CC"/>
    <w:rsid w:val="009A318D"/>
    <w:rsid w:val="009A3338"/>
    <w:rsid w:val="009A581B"/>
    <w:rsid w:val="009A608A"/>
    <w:rsid w:val="009A67C0"/>
    <w:rsid w:val="009B2699"/>
    <w:rsid w:val="009B3410"/>
    <w:rsid w:val="009B5699"/>
    <w:rsid w:val="009B7D7C"/>
    <w:rsid w:val="009C1E9E"/>
    <w:rsid w:val="009C2A3B"/>
    <w:rsid w:val="009C6195"/>
    <w:rsid w:val="009C6929"/>
    <w:rsid w:val="009C74B5"/>
    <w:rsid w:val="009D2822"/>
    <w:rsid w:val="009D2AEB"/>
    <w:rsid w:val="009D2E86"/>
    <w:rsid w:val="009D32E6"/>
    <w:rsid w:val="009D5515"/>
    <w:rsid w:val="009D58C9"/>
    <w:rsid w:val="009D5B4F"/>
    <w:rsid w:val="009E027A"/>
    <w:rsid w:val="009E097B"/>
    <w:rsid w:val="009E2E77"/>
    <w:rsid w:val="009E3264"/>
    <w:rsid w:val="009E464B"/>
    <w:rsid w:val="009E5E5E"/>
    <w:rsid w:val="009F0555"/>
    <w:rsid w:val="009F1155"/>
    <w:rsid w:val="009F1492"/>
    <w:rsid w:val="009F259F"/>
    <w:rsid w:val="009F2F45"/>
    <w:rsid w:val="009F7C75"/>
    <w:rsid w:val="00A0062A"/>
    <w:rsid w:val="00A01C9E"/>
    <w:rsid w:val="00A01FAA"/>
    <w:rsid w:val="00A03F43"/>
    <w:rsid w:val="00A04CB2"/>
    <w:rsid w:val="00A0603C"/>
    <w:rsid w:val="00A06B6F"/>
    <w:rsid w:val="00A100BD"/>
    <w:rsid w:val="00A11556"/>
    <w:rsid w:val="00A13311"/>
    <w:rsid w:val="00A145A1"/>
    <w:rsid w:val="00A14738"/>
    <w:rsid w:val="00A14F71"/>
    <w:rsid w:val="00A20319"/>
    <w:rsid w:val="00A225CB"/>
    <w:rsid w:val="00A229A2"/>
    <w:rsid w:val="00A24154"/>
    <w:rsid w:val="00A243C1"/>
    <w:rsid w:val="00A2464D"/>
    <w:rsid w:val="00A252FD"/>
    <w:rsid w:val="00A26782"/>
    <w:rsid w:val="00A26B4A"/>
    <w:rsid w:val="00A272C2"/>
    <w:rsid w:val="00A31FCA"/>
    <w:rsid w:val="00A3374F"/>
    <w:rsid w:val="00A33B6B"/>
    <w:rsid w:val="00A33CD8"/>
    <w:rsid w:val="00A34FA6"/>
    <w:rsid w:val="00A357EF"/>
    <w:rsid w:val="00A36812"/>
    <w:rsid w:val="00A36DBC"/>
    <w:rsid w:val="00A37086"/>
    <w:rsid w:val="00A373BC"/>
    <w:rsid w:val="00A410ED"/>
    <w:rsid w:val="00A41DB3"/>
    <w:rsid w:val="00A43440"/>
    <w:rsid w:val="00A44229"/>
    <w:rsid w:val="00A4796B"/>
    <w:rsid w:val="00A5109A"/>
    <w:rsid w:val="00A5133A"/>
    <w:rsid w:val="00A5293B"/>
    <w:rsid w:val="00A536F5"/>
    <w:rsid w:val="00A53B4A"/>
    <w:rsid w:val="00A53FF1"/>
    <w:rsid w:val="00A55ABB"/>
    <w:rsid w:val="00A55BFE"/>
    <w:rsid w:val="00A55CA9"/>
    <w:rsid w:val="00A6028A"/>
    <w:rsid w:val="00A6200B"/>
    <w:rsid w:val="00A644C3"/>
    <w:rsid w:val="00A651A7"/>
    <w:rsid w:val="00A66D3A"/>
    <w:rsid w:val="00A6717B"/>
    <w:rsid w:val="00A718C4"/>
    <w:rsid w:val="00A74A14"/>
    <w:rsid w:val="00A765CC"/>
    <w:rsid w:val="00A76709"/>
    <w:rsid w:val="00A81814"/>
    <w:rsid w:val="00A82EEA"/>
    <w:rsid w:val="00A83EEA"/>
    <w:rsid w:val="00A84D60"/>
    <w:rsid w:val="00A84FD3"/>
    <w:rsid w:val="00A916D4"/>
    <w:rsid w:val="00A9175E"/>
    <w:rsid w:val="00A917C0"/>
    <w:rsid w:val="00A927AE"/>
    <w:rsid w:val="00A931A0"/>
    <w:rsid w:val="00A93DCE"/>
    <w:rsid w:val="00A943F5"/>
    <w:rsid w:val="00A96452"/>
    <w:rsid w:val="00A96A1F"/>
    <w:rsid w:val="00AA067C"/>
    <w:rsid w:val="00AA5E3B"/>
    <w:rsid w:val="00AB15F0"/>
    <w:rsid w:val="00AB1C7B"/>
    <w:rsid w:val="00AB2608"/>
    <w:rsid w:val="00AB2DAE"/>
    <w:rsid w:val="00AB3150"/>
    <w:rsid w:val="00AB3B42"/>
    <w:rsid w:val="00AB4438"/>
    <w:rsid w:val="00AB44C6"/>
    <w:rsid w:val="00AB734D"/>
    <w:rsid w:val="00AC1CE1"/>
    <w:rsid w:val="00AC1E35"/>
    <w:rsid w:val="00AC1E5B"/>
    <w:rsid w:val="00AC7AE0"/>
    <w:rsid w:val="00AD1800"/>
    <w:rsid w:val="00AD28FC"/>
    <w:rsid w:val="00AD2C92"/>
    <w:rsid w:val="00AD2FB8"/>
    <w:rsid w:val="00AD3ED8"/>
    <w:rsid w:val="00AD3F3A"/>
    <w:rsid w:val="00AD451B"/>
    <w:rsid w:val="00AD54BA"/>
    <w:rsid w:val="00AE2D4B"/>
    <w:rsid w:val="00AE550A"/>
    <w:rsid w:val="00AE5778"/>
    <w:rsid w:val="00AF14CD"/>
    <w:rsid w:val="00AF184A"/>
    <w:rsid w:val="00AF2825"/>
    <w:rsid w:val="00AF2BFB"/>
    <w:rsid w:val="00AF5D17"/>
    <w:rsid w:val="00AF6269"/>
    <w:rsid w:val="00B0063B"/>
    <w:rsid w:val="00B00B11"/>
    <w:rsid w:val="00B00BDF"/>
    <w:rsid w:val="00B02107"/>
    <w:rsid w:val="00B02767"/>
    <w:rsid w:val="00B02F20"/>
    <w:rsid w:val="00B0337E"/>
    <w:rsid w:val="00B03681"/>
    <w:rsid w:val="00B03CFC"/>
    <w:rsid w:val="00B0479C"/>
    <w:rsid w:val="00B04F38"/>
    <w:rsid w:val="00B06011"/>
    <w:rsid w:val="00B07F2A"/>
    <w:rsid w:val="00B1193E"/>
    <w:rsid w:val="00B12825"/>
    <w:rsid w:val="00B135C5"/>
    <w:rsid w:val="00B13BB6"/>
    <w:rsid w:val="00B13CE6"/>
    <w:rsid w:val="00B13E74"/>
    <w:rsid w:val="00B140C0"/>
    <w:rsid w:val="00B15B16"/>
    <w:rsid w:val="00B161EC"/>
    <w:rsid w:val="00B25670"/>
    <w:rsid w:val="00B2605A"/>
    <w:rsid w:val="00B26FE3"/>
    <w:rsid w:val="00B27AD7"/>
    <w:rsid w:val="00B306D8"/>
    <w:rsid w:val="00B31CD6"/>
    <w:rsid w:val="00B32E8B"/>
    <w:rsid w:val="00B340B4"/>
    <w:rsid w:val="00B35C6A"/>
    <w:rsid w:val="00B412EF"/>
    <w:rsid w:val="00B41756"/>
    <w:rsid w:val="00B4222D"/>
    <w:rsid w:val="00B4380A"/>
    <w:rsid w:val="00B449B1"/>
    <w:rsid w:val="00B45EB9"/>
    <w:rsid w:val="00B46DFB"/>
    <w:rsid w:val="00B47B16"/>
    <w:rsid w:val="00B50743"/>
    <w:rsid w:val="00B5128D"/>
    <w:rsid w:val="00B5249A"/>
    <w:rsid w:val="00B53169"/>
    <w:rsid w:val="00B532A5"/>
    <w:rsid w:val="00B53B6E"/>
    <w:rsid w:val="00B568BC"/>
    <w:rsid w:val="00B60B90"/>
    <w:rsid w:val="00B61213"/>
    <w:rsid w:val="00B625F0"/>
    <w:rsid w:val="00B62A19"/>
    <w:rsid w:val="00B6511C"/>
    <w:rsid w:val="00B65218"/>
    <w:rsid w:val="00B65C1D"/>
    <w:rsid w:val="00B71851"/>
    <w:rsid w:val="00B71F68"/>
    <w:rsid w:val="00B722DE"/>
    <w:rsid w:val="00B73769"/>
    <w:rsid w:val="00B76EB9"/>
    <w:rsid w:val="00B80E59"/>
    <w:rsid w:val="00B81B03"/>
    <w:rsid w:val="00B81D8D"/>
    <w:rsid w:val="00B870BC"/>
    <w:rsid w:val="00B87637"/>
    <w:rsid w:val="00B91648"/>
    <w:rsid w:val="00B92C1F"/>
    <w:rsid w:val="00B93DA2"/>
    <w:rsid w:val="00B9424A"/>
    <w:rsid w:val="00B943AB"/>
    <w:rsid w:val="00B96E0E"/>
    <w:rsid w:val="00BA0423"/>
    <w:rsid w:val="00BA0B86"/>
    <w:rsid w:val="00BA30ED"/>
    <w:rsid w:val="00BA320E"/>
    <w:rsid w:val="00BA35DF"/>
    <w:rsid w:val="00BA6B19"/>
    <w:rsid w:val="00BA7044"/>
    <w:rsid w:val="00BB02D0"/>
    <w:rsid w:val="00BB0A4D"/>
    <w:rsid w:val="00BB2A4D"/>
    <w:rsid w:val="00BB352A"/>
    <w:rsid w:val="00BB36F6"/>
    <w:rsid w:val="00BB3FB8"/>
    <w:rsid w:val="00BB40FB"/>
    <w:rsid w:val="00BB5C4F"/>
    <w:rsid w:val="00BB7B2D"/>
    <w:rsid w:val="00BC02C8"/>
    <w:rsid w:val="00BC0FC6"/>
    <w:rsid w:val="00BC416C"/>
    <w:rsid w:val="00BC50A5"/>
    <w:rsid w:val="00BC618B"/>
    <w:rsid w:val="00BC6932"/>
    <w:rsid w:val="00BC78B5"/>
    <w:rsid w:val="00BC78EF"/>
    <w:rsid w:val="00BC7B1B"/>
    <w:rsid w:val="00BD2EEC"/>
    <w:rsid w:val="00BD370F"/>
    <w:rsid w:val="00BD3A9B"/>
    <w:rsid w:val="00BD4828"/>
    <w:rsid w:val="00BD48BB"/>
    <w:rsid w:val="00BD4BD5"/>
    <w:rsid w:val="00BD5007"/>
    <w:rsid w:val="00BE01A0"/>
    <w:rsid w:val="00BE1E44"/>
    <w:rsid w:val="00BE2428"/>
    <w:rsid w:val="00BE73CE"/>
    <w:rsid w:val="00BE7EEC"/>
    <w:rsid w:val="00BF0AF3"/>
    <w:rsid w:val="00BF11F1"/>
    <w:rsid w:val="00BF28E1"/>
    <w:rsid w:val="00BF499F"/>
    <w:rsid w:val="00BF58C5"/>
    <w:rsid w:val="00BF7971"/>
    <w:rsid w:val="00C00047"/>
    <w:rsid w:val="00C05637"/>
    <w:rsid w:val="00C06832"/>
    <w:rsid w:val="00C06BC1"/>
    <w:rsid w:val="00C13640"/>
    <w:rsid w:val="00C1455E"/>
    <w:rsid w:val="00C14AA0"/>
    <w:rsid w:val="00C17521"/>
    <w:rsid w:val="00C17FC4"/>
    <w:rsid w:val="00C24A8A"/>
    <w:rsid w:val="00C26D4F"/>
    <w:rsid w:val="00C26FEE"/>
    <w:rsid w:val="00C27A73"/>
    <w:rsid w:val="00C31185"/>
    <w:rsid w:val="00C317FD"/>
    <w:rsid w:val="00C31FAE"/>
    <w:rsid w:val="00C32B8F"/>
    <w:rsid w:val="00C34213"/>
    <w:rsid w:val="00C352AF"/>
    <w:rsid w:val="00C35E7F"/>
    <w:rsid w:val="00C363A4"/>
    <w:rsid w:val="00C435EB"/>
    <w:rsid w:val="00C43CCD"/>
    <w:rsid w:val="00C43E34"/>
    <w:rsid w:val="00C53F17"/>
    <w:rsid w:val="00C5431E"/>
    <w:rsid w:val="00C54B7E"/>
    <w:rsid w:val="00C54BD6"/>
    <w:rsid w:val="00C55962"/>
    <w:rsid w:val="00C56577"/>
    <w:rsid w:val="00C568E6"/>
    <w:rsid w:val="00C6345B"/>
    <w:rsid w:val="00C6464C"/>
    <w:rsid w:val="00C66E75"/>
    <w:rsid w:val="00C6755B"/>
    <w:rsid w:val="00C67602"/>
    <w:rsid w:val="00C729C7"/>
    <w:rsid w:val="00C74DF9"/>
    <w:rsid w:val="00C75380"/>
    <w:rsid w:val="00C75579"/>
    <w:rsid w:val="00C77252"/>
    <w:rsid w:val="00C774B8"/>
    <w:rsid w:val="00C8017D"/>
    <w:rsid w:val="00C80430"/>
    <w:rsid w:val="00C80438"/>
    <w:rsid w:val="00C80550"/>
    <w:rsid w:val="00C81F57"/>
    <w:rsid w:val="00C839A5"/>
    <w:rsid w:val="00C83A9D"/>
    <w:rsid w:val="00C8437E"/>
    <w:rsid w:val="00C873E9"/>
    <w:rsid w:val="00C9366B"/>
    <w:rsid w:val="00C93E84"/>
    <w:rsid w:val="00C96595"/>
    <w:rsid w:val="00CA0A5D"/>
    <w:rsid w:val="00CA0BDE"/>
    <w:rsid w:val="00CA0DA9"/>
    <w:rsid w:val="00CA1862"/>
    <w:rsid w:val="00CA1C40"/>
    <w:rsid w:val="00CA29F0"/>
    <w:rsid w:val="00CA4836"/>
    <w:rsid w:val="00CA51D0"/>
    <w:rsid w:val="00CA532D"/>
    <w:rsid w:val="00CA5D18"/>
    <w:rsid w:val="00CA7FCF"/>
    <w:rsid w:val="00CB0B29"/>
    <w:rsid w:val="00CC2EC6"/>
    <w:rsid w:val="00CC3228"/>
    <w:rsid w:val="00CC6BDC"/>
    <w:rsid w:val="00CD0270"/>
    <w:rsid w:val="00CD10D2"/>
    <w:rsid w:val="00CD42FA"/>
    <w:rsid w:val="00CD46B5"/>
    <w:rsid w:val="00CD5340"/>
    <w:rsid w:val="00CD6170"/>
    <w:rsid w:val="00CD7F4A"/>
    <w:rsid w:val="00CE0D78"/>
    <w:rsid w:val="00CE1B4D"/>
    <w:rsid w:val="00CE2E0B"/>
    <w:rsid w:val="00CE3093"/>
    <w:rsid w:val="00CE5785"/>
    <w:rsid w:val="00CE7A69"/>
    <w:rsid w:val="00CF16A8"/>
    <w:rsid w:val="00CF23C5"/>
    <w:rsid w:val="00CF2EC4"/>
    <w:rsid w:val="00CF4559"/>
    <w:rsid w:val="00CF48D8"/>
    <w:rsid w:val="00CF4FD0"/>
    <w:rsid w:val="00D01493"/>
    <w:rsid w:val="00D0597A"/>
    <w:rsid w:val="00D06A6C"/>
    <w:rsid w:val="00D10589"/>
    <w:rsid w:val="00D10F5C"/>
    <w:rsid w:val="00D12EC7"/>
    <w:rsid w:val="00D14C3C"/>
    <w:rsid w:val="00D22324"/>
    <w:rsid w:val="00D22F0F"/>
    <w:rsid w:val="00D252F4"/>
    <w:rsid w:val="00D25859"/>
    <w:rsid w:val="00D26C83"/>
    <w:rsid w:val="00D27C7B"/>
    <w:rsid w:val="00D30E65"/>
    <w:rsid w:val="00D3105B"/>
    <w:rsid w:val="00D31822"/>
    <w:rsid w:val="00D40D20"/>
    <w:rsid w:val="00D40F65"/>
    <w:rsid w:val="00D449B3"/>
    <w:rsid w:val="00D50F82"/>
    <w:rsid w:val="00D52157"/>
    <w:rsid w:val="00D53746"/>
    <w:rsid w:val="00D53BFD"/>
    <w:rsid w:val="00D5422A"/>
    <w:rsid w:val="00D5497B"/>
    <w:rsid w:val="00D55580"/>
    <w:rsid w:val="00D55886"/>
    <w:rsid w:val="00D602A0"/>
    <w:rsid w:val="00D60EFD"/>
    <w:rsid w:val="00D6250B"/>
    <w:rsid w:val="00D6277F"/>
    <w:rsid w:val="00D63020"/>
    <w:rsid w:val="00D638A2"/>
    <w:rsid w:val="00D64B13"/>
    <w:rsid w:val="00D667F7"/>
    <w:rsid w:val="00D668B0"/>
    <w:rsid w:val="00D709AB"/>
    <w:rsid w:val="00D72144"/>
    <w:rsid w:val="00D7690F"/>
    <w:rsid w:val="00D849F7"/>
    <w:rsid w:val="00D84C42"/>
    <w:rsid w:val="00D8592B"/>
    <w:rsid w:val="00D92844"/>
    <w:rsid w:val="00D93B51"/>
    <w:rsid w:val="00DA140C"/>
    <w:rsid w:val="00DA2C60"/>
    <w:rsid w:val="00DA3124"/>
    <w:rsid w:val="00DA4890"/>
    <w:rsid w:val="00DA4C07"/>
    <w:rsid w:val="00DA56EA"/>
    <w:rsid w:val="00DA7341"/>
    <w:rsid w:val="00DB14AE"/>
    <w:rsid w:val="00DB2379"/>
    <w:rsid w:val="00DB49D3"/>
    <w:rsid w:val="00DB5704"/>
    <w:rsid w:val="00DB7D09"/>
    <w:rsid w:val="00DC0724"/>
    <w:rsid w:val="00DC116A"/>
    <w:rsid w:val="00DC1729"/>
    <w:rsid w:val="00DC1DCF"/>
    <w:rsid w:val="00DC2AA9"/>
    <w:rsid w:val="00DC2D53"/>
    <w:rsid w:val="00DC5C20"/>
    <w:rsid w:val="00DC7D02"/>
    <w:rsid w:val="00DD0BEF"/>
    <w:rsid w:val="00DD0F85"/>
    <w:rsid w:val="00DD132F"/>
    <w:rsid w:val="00DD3487"/>
    <w:rsid w:val="00DD4346"/>
    <w:rsid w:val="00DD7B93"/>
    <w:rsid w:val="00DE02A8"/>
    <w:rsid w:val="00DE2A1F"/>
    <w:rsid w:val="00DE4740"/>
    <w:rsid w:val="00DE6AFE"/>
    <w:rsid w:val="00DF2F01"/>
    <w:rsid w:val="00E02376"/>
    <w:rsid w:val="00E02E69"/>
    <w:rsid w:val="00E03B5D"/>
    <w:rsid w:val="00E055DC"/>
    <w:rsid w:val="00E07ADE"/>
    <w:rsid w:val="00E145F0"/>
    <w:rsid w:val="00E14A95"/>
    <w:rsid w:val="00E1548F"/>
    <w:rsid w:val="00E15CF4"/>
    <w:rsid w:val="00E16C67"/>
    <w:rsid w:val="00E222C0"/>
    <w:rsid w:val="00E250EC"/>
    <w:rsid w:val="00E307C9"/>
    <w:rsid w:val="00E3201F"/>
    <w:rsid w:val="00E33FD3"/>
    <w:rsid w:val="00E34585"/>
    <w:rsid w:val="00E36AB8"/>
    <w:rsid w:val="00E37AC1"/>
    <w:rsid w:val="00E40032"/>
    <w:rsid w:val="00E4115F"/>
    <w:rsid w:val="00E41436"/>
    <w:rsid w:val="00E422AE"/>
    <w:rsid w:val="00E44FC6"/>
    <w:rsid w:val="00E47E0C"/>
    <w:rsid w:val="00E50435"/>
    <w:rsid w:val="00E52556"/>
    <w:rsid w:val="00E52595"/>
    <w:rsid w:val="00E53CDD"/>
    <w:rsid w:val="00E552D1"/>
    <w:rsid w:val="00E56A98"/>
    <w:rsid w:val="00E57282"/>
    <w:rsid w:val="00E5790B"/>
    <w:rsid w:val="00E614AF"/>
    <w:rsid w:val="00E61765"/>
    <w:rsid w:val="00E63B4F"/>
    <w:rsid w:val="00E6797D"/>
    <w:rsid w:val="00E72160"/>
    <w:rsid w:val="00E72D12"/>
    <w:rsid w:val="00E73497"/>
    <w:rsid w:val="00E73C88"/>
    <w:rsid w:val="00E7643B"/>
    <w:rsid w:val="00E818C8"/>
    <w:rsid w:val="00E81DEE"/>
    <w:rsid w:val="00E82147"/>
    <w:rsid w:val="00E85D80"/>
    <w:rsid w:val="00E901CF"/>
    <w:rsid w:val="00E91C1F"/>
    <w:rsid w:val="00E9557D"/>
    <w:rsid w:val="00E95FD0"/>
    <w:rsid w:val="00E9628E"/>
    <w:rsid w:val="00E97DA2"/>
    <w:rsid w:val="00EA07AF"/>
    <w:rsid w:val="00EA1705"/>
    <w:rsid w:val="00EA2C38"/>
    <w:rsid w:val="00EA3378"/>
    <w:rsid w:val="00EA4015"/>
    <w:rsid w:val="00EA5411"/>
    <w:rsid w:val="00EA6B59"/>
    <w:rsid w:val="00EB2C3D"/>
    <w:rsid w:val="00EB66A7"/>
    <w:rsid w:val="00EB6898"/>
    <w:rsid w:val="00EB69E3"/>
    <w:rsid w:val="00EB7787"/>
    <w:rsid w:val="00EB7B0E"/>
    <w:rsid w:val="00EC01CE"/>
    <w:rsid w:val="00EC26A2"/>
    <w:rsid w:val="00EC2FD5"/>
    <w:rsid w:val="00EC6737"/>
    <w:rsid w:val="00ED05D2"/>
    <w:rsid w:val="00ED25EC"/>
    <w:rsid w:val="00ED2A8C"/>
    <w:rsid w:val="00ED3DBD"/>
    <w:rsid w:val="00ED3DD9"/>
    <w:rsid w:val="00ED4E58"/>
    <w:rsid w:val="00EE4194"/>
    <w:rsid w:val="00EE4962"/>
    <w:rsid w:val="00EE6BCF"/>
    <w:rsid w:val="00EE748A"/>
    <w:rsid w:val="00EF0B21"/>
    <w:rsid w:val="00EF175F"/>
    <w:rsid w:val="00EF214A"/>
    <w:rsid w:val="00EF30F1"/>
    <w:rsid w:val="00EF5C27"/>
    <w:rsid w:val="00F01F81"/>
    <w:rsid w:val="00F0241B"/>
    <w:rsid w:val="00F0340B"/>
    <w:rsid w:val="00F04B80"/>
    <w:rsid w:val="00F04EAB"/>
    <w:rsid w:val="00F058BF"/>
    <w:rsid w:val="00F07452"/>
    <w:rsid w:val="00F10D32"/>
    <w:rsid w:val="00F11E7D"/>
    <w:rsid w:val="00F13BC9"/>
    <w:rsid w:val="00F15385"/>
    <w:rsid w:val="00F15B90"/>
    <w:rsid w:val="00F15F11"/>
    <w:rsid w:val="00F16E5C"/>
    <w:rsid w:val="00F17BDE"/>
    <w:rsid w:val="00F17CC8"/>
    <w:rsid w:val="00F206F7"/>
    <w:rsid w:val="00F240EE"/>
    <w:rsid w:val="00F246B3"/>
    <w:rsid w:val="00F24F2F"/>
    <w:rsid w:val="00F272F9"/>
    <w:rsid w:val="00F3298B"/>
    <w:rsid w:val="00F335E4"/>
    <w:rsid w:val="00F33F89"/>
    <w:rsid w:val="00F346F7"/>
    <w:rsid w:val="00F37663"/>
    <w:rsid w:val="00F3784C"/>
    <w:rsid w:val="00F410C7"/>
    <w:rsid w:val="00F41D3C"/>
    <w:rsid w:val="00F426F2"/>
    <w:rsid w:val="00F42B16"/>
    <w:rsid w:val="00F452BA"/>
    <w:rsid w:val="00F470BD"/>
    <w:rsid w:val="00F474F5"/>
    <w:rsid w:val="00F503CA"/>
    <w:rsid w:val="00F52224"/>
    <w:rsid w:val="00F5374F"/>
    <w:rsid w:val="00F53FEA"/>
    <w:rsid w:val="00F55D6A"/>
    <w:rsid w:val="00F56447"/>
    <w:rsid w:val="00F568F8"/>
    <w:rsid w:val="00F573EC"/>
    <w:rsid w:val="00F61C45"/>
    <w:rsid w:val="00F627FB"/>
    <w:rsid w:val="00F63CAE"/>
    <w:rsid w:val="00F644CF"/>
    <w:rsid w:val="00F706C9"/>
    <w:rsid w:val="00F70B82"/>
    <w:rsid w:val="00F70D65"/>
    <w:rsid w:val="00F71AB7"/>
    <w:rsid w:val="00F75B73"/>
    <w:rsid w:val="00F7653A"/>
    <w:rsid w:val="00F76CC2"/>
    <w:rsid w:val="00F7720D"/>
    <w:rsid w:val="00F7736D"/>
    <w:rsid w:val="00F81BEA"/>
    <w:rsid w:val="00F823C9"/>
    <w:rsid w:val="00F827B7"/>
    <w:rsid w:val="00F855A2"/>
    <w:rsid w:val="00F862D6"/>
    <w:rsid w:val="00F87828"/>
    <w:rsid w:val="00F87892"/>
    <w:rsid w:val="00F9011F"/>
    <w:rsid w:val="00F91802"/>
    <w:rsid w:val="00F946E4"/>
    <w:rsid w:val="00F9558D"/>
    <w:rsid w:val="00F96101"/>
    <w:rsid w:val="00F966CB"/>
    <w:rsid w:val="00FA10C3"/>
    <w:rsid w:val="00FA1B75"/>
    <w:rsid w:val="00FA27CA"/>
    <w:rsid w:val="00FA32AB"/>
    <w:rsid w:val="00FA37D5"/>
    <w:rsid w:val="00FA44A9"/>
    <w:rsid w:val="00FA57C3"/>
    <w:rsid w:val="00FA6404"/>
    <w:rsid w:val="00FA771A"/>
    <w:rsid w:val="00FB082A"/>
    <w:rsid w:val="00FB42D8"/>
    <w:rsid w:val="00FB4B87"/>
    <w:rsid w:val="00FB513B"/>
    <w:rsid w:val="00FB533C"/>
    <w:rsid w:val="00FB6B60"/>
    <w:rsid w:val="00FB7D63"/>
    <w:rsid w:val="00FB7E08"/>
    <w:rsid w:val="00FC057D"/>
    <w:rsid w:val="00FC0CEC"/>
    <w:rsid w:val="00FC2CCD"/>
    <w:rsid w:val="00FC38F2"/>
    <w:rsid w:val="00FC4465"/>
    <w:rsid w:val="00FC5CAD"/>
    <w:rsid w:val="00FC761F"/>
    <w:rsid w:val="00FD4CE0"/>
    <w:rsid w:val="00FD57CA"/>
    <w:rsid w:val="00FD5EC4"/>
    <w:rsid w:val="00FD6028"/>
    <w:rsid w:val="00FD74DB"/>
    <w:rsid w:val="00FD7D5D"/>
    <w:rsid w:val="00FE0E7E"/>
    <w:rsid w:val="00FE3B3D"/>
    <w:rsid w:val="00FE42FA"/>
    <w:rsid w:val="00FE48B2"/>
    <w:rsid w:val="00FE50AD"/>
    <w:rsid w:val="00FE69E4"/>
    <w:rsid w:val="00FF1049"/>
    <w:rsid w:val="00FF30E0"/>
    <w:rsid w:val="00FF5C66"/>
    <w:rsid w:val="00FF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58369"/>
    <o:shapelayout v:ext="edit">
      <o:idmap v:ext="edit" data="1"/>
    </o:shapelayout>
  </w:shapeDefaults>
  <w:decimalSymbol w:val="."/>
  <w:listSeparator w:val=","/>
  <w15:chartTrackingRefBased/>
  <w15:docId w15:val="{8F0AE25B-A064-4356-90FA-0C57DD85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left" w:pos="-360"/>
        <w:tab w:val="left" w:pos="360"/>
        <w:tab w:val="left" w:pos="1080"/>
        <w:tab w:val="left" w:pos="1800"/>
        <w:tab w:val="left" w:pos="2520"/>
        <w:tab w:val="left" w:pos="3330"/>
        <w:tab w:val="left" w:pos="3960"/>
        <w:tab w:val="left" w:pos="6480"/>
        <w:tab w:val="left" w:pos="9360"/>
      </w:tabs>
      <w:ind w:right="720"/>
      <w:jc w:val="center"/>
      <w:outlineLvl w:val="0"/>
    </w:pPr>
    <w:rPr>
      <w:b/>
      <w:snapToGrid/>
      <w:sz w:val="28"/>
    </w:rPr>
  </w:style>
  <w:style w:type="paragraph" w:styleId="Heading2">
    <w:name w:val="heading 2"/>
    <w:basedOn w:val="Normal"/>
    <w:next w:val="Normal"/>
    <w:qFormat/>
    <w:pPr>
      <w:keepNext/>
      <w:widowControl/>
      <w:outlineLvl w:val="1"/>
    </w:pPr>
    <w:rPr>
      <w:snapToGrid/>
      <w:u w:val="single"/>
    </w:rPr>
  </w:style>
  <w:style w:type="paragraph" w:styleId="Heading3">
    <w:name w:val="heading 3"/>
    <w:basedOn w:val="Normal"/>
    <w:next w:val="Normal"/>
    <w:qFormat/>
    <w:pPr>
      <w:keepNext/>
      <w:tabs>
        <w:tab w:val="left" w:pos="-1080"/>
        <w:tab w:val="left" w:pos="-720"/>
        <w:tab w:val="left" w:pos="0"/>
        <w:tab w:val="left" w:pos="810"/>
        <w:tab w:val="left" w:pos="2160"/>
        <w:tab w:val="left" w:pos="6120"/>
      </w:tabs>
      <w:outlineLvl w:val="2"/>
    </w:pPr>
    <w:rPr>
      <w:b/>
    </w:rPr>
  </w:style>
  <w:style w:type="paragraph" w:styleId="Heading4">
    <w:name w:val="heading 4"/>
    <w:basedOn w:val="Normal"/>
    <w:next w:val="Normal"/>
    <w:qFormat/>
    <w:pPr>
      <w:keepNext/>
      <w:widowControl/>
      <w:tabs>
        <w:tab w:val="left" w:pos="-1080"/>
        <w:tab w:val="left" w:pos="-720"/>
        <w:tab w:val="left" w:pos="0"/>
        <w:tab w:val="left" w:pos="720"/>
        <w:tab w:val="left" w:pos="1080"/>
        <w:tab w:val="left" w:pos="2160"/>
      </w:tabs>
      <w:jc w:val="center"/>
      <w:outlineLvl w:val="3"/>
    </w:pPr>
    <w:rPr>
      <w:snapToGrid/>
    </w:rPr>
  </w:style>
  <w:style w:type="paragraph" w:styleId="Heading5">
    <w:name w:val="heading 5"/>
    <w:basedOn w:val="Normal"/>
    <w:next w:val="Normal"/>
    <w:qFormat/>
    <w:pPr>
      <w:keepNext/>
      <w:widowControl/>
      <w:tabs>
        <w:tab w:val="left" w:pos="-1080"/>
        <w:tab w:val="left" w:pos="-720"/>
        <w:tab w:val="left" w:pos="0"/>
        <w:tab w:val="left" w:pos="720"/>
        <w:tab w:val="left" w:pos="1080"/>
        <w:tab w:val="left" w:pos="2160"/>
      </w:tabs>
      <w:jc w:val="center"/>
      <w:outlineLvl w:val="4"/>
    </w:pPr>
    <w:rPr>
      <w:b/>
      <w:snapToGrid/>
    </w:rPr>
  </w:style>
  <w:style w:type="paragraph" w:styleId="Heading6">
    <w:name w:val="heading 6"/>
    <w:basedOn w:val="Normal"/>
    <w:next w:val="Normal"/>
    <w:qFormat/>
    <w:pPr>
      <w:keepNext/>
      <w:widowControl/>
      <w:tabs>
        <w:tab w:val="left" w:pos="-1080"/>
        <w:tab w:val="left" w:pos="-720"/>
        <w:tab w:val="left" w:pos="0"/>
        <w:tab w:val="left" w:pos="900"/>
        <w:tab w:val="left" w:pos="2160"/>
      </w:tabs>
      <w:ind w:firstLine="900"/>
      <w:outlineLvl w:val="5"/>
    </w:pPr>
    <w:rPr>
      <w:b/>
      <w:snapToGrid/>
    </w:rPr>
  </w:style>
  <w:style w:type="paragraph" w:styleId="Heading7">
    <w:name w:val="heading 7"/>
    <w:basedOn w:val="Normal"/>
    <w:next w:val="Normal"/>
    <w:qFormat/>
    <w:pPr>
      <w:keepNext/>
      <w:widowControl/>
      <w:tabs>
        <w:tab w:val="left" w:pos="720"/>
      </w:tabs>
      <w:ind w:left="720"/>
      <w:outlineLvl w:val="6"/>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widowControl/>
      <w:tabs>
        <w:tab w:val="left" w:pos="0"/>
        <w:tab w:val="left" w:pos="720"/>
        <w:tab w:val="left" w:pos="1440"/>
        <w:tab w:val="left" w:pos="2160"/>
        <w:tab w:val="left" w:pos="3060"/>
        <w:tab w:val="left" w:pos="3600"/>
        <w:tab w:val="left" w:pos="4320"/>
        <w:tab w:val="left" w:pos="5040"/>
        <w:tab w:val="left" w:pos="5670"/>
        <w:tab w:val="left" w:pos="5940"/>
        <w:tab w:val="left" w:pos="7200"/>
        <w:tab w:val="left" w:pos="7560"/>
      </w:tabs>
      <w:spacing w:after="27"/>
      <w:ind w:left="86" w:right="86" w:firstLine="2970"/>
    </w:pPr>
  </w:style>
  <w:style w:type="paragraph" w:styleId="BodyTextIndent">
    <w:name w:val="Body Text Indent"/>
    <w:basedOn w:val="Normal"/>
    <w:pPr>
      <w:widowControl/>
      <w:tabs>
        <w:tab w:val="left" w:pos="-270"/>
        <w:tab w:val="left" w:pos="0"/>
        <w:tab w:val="left" w:pos="270"/>
        <w:tab w:val="left" w:pos="630"/>
        <w:tab w:val="left" w:pos="990"/>
        <w:tab w:val="left" w:pos="2790"/>
        <w:tab w:val="left" w:pos="8190"/>
        <w:tab w:val="left" w:pos="8910"/>
      </w:tabs>
      <w:ind w:left="720"/>
    </w:pPr>
  </w:style>
  <w:style w:type="paragraph" w:styleId="BodyText">
    <w:name w:val="Body Text"/>
    <w:basedOn w:val="Normal"/>
    <w:pPr>
      <w:widowControl/>
      <w:tabs>
        <w:tab w:val="left" w:pos="0"/>
        <w:tab w:val="left" w:pos="720"/>
        <w:tab w:val="left" w:pos="1440"/>
        <w:tab w:val="left" w:pos="2160"/>
        <w:tab w:val="left" w:pos="3484"/>
      </w:tabs>
      <w:spacing w:after="45"/>
      <w:ind w:right="108"/>
    </w:pPr>
  </w:style>
  <w:style w:type="paragraph" w:styleId="BodyTextIndent2">
    <w:name w:val="Body Text Indent 2"/>
    <w:basedOn w:val="Normal"/>
    <w:pPr>
      <w:widowControl/>
      <w:tabs>
        <w:tab w:val="left" w:pos="0"/>
        <w:tab w:val="left" w:pos="720"/>
        <w:tab w:val="left" w:pos="900"/>
        <w:tab w:val="left" w:pos="3150"/>
        <w:tab w:val="left" w:pos="3240"/>
        <w:tab w:val="left" w:pos="4590"/>
        <w:tab w:val="left" w:pos="4680"/>
        <w:tab w:val="left" w:pos="6210"/>
        <w:tab w:val="left" w:pos="6660"/>
        <w:tab w:val="left" w:pos="7830"/>
        <w:tab w:val="left" w:pos="8100"/>
        <w:tab w:val="left" w:pos="8640"/>
      </w:tabs>
      <w:spacing w:after="45"/>
      <w:ind w:left="90" w:firstLine="630"/>
    </w:pPr>
  </w:style>
  <w:style w:type="paragraph" w:styleId="BodyTextIndent3">
    <w:name w:val="Body Text Indent 3"/>
    <w:basedOn w:val="Normal"/>
    <w:pPr>
      <w:tabs>
        <w:tab w:val="left" w:pos="1080"/>
      </w:tabs>
      <w:ind w:left="1080" w:hanging="360"/>
    </w:pPr>
  </w:style>
  <w:style w:type="character" w:styleId="PageNumber">
    <w:name w:val="page number"/>
    <w:basedOn w:val="DefaultParagraphFont"/>
  </w:style>
  <w:style w:type="paragraph" w:styleId="BodyText2">
    <w:name w:val="Body Text 2"/>
    <w:basedOn w:val="Normal"/>
    <w:pPr>
      <w:widowControl/>
      <w:tabs>
        <w:tab w:val="left" w:pos="0"/>
        <w:tab w:val="left" w:pos="720"/>
        <w:tab w:val="left" w:pos="1440"/>
        <w:tab w:val="left" w:pos="2160"/>
        <w:tab w:val="left" w:pos="4050"/>
        <w:tab w:val="left" w:pos="5760"/>
        <w:tab w:val="left" w:pos="7830"/>
      </w:tabs>
      <w:ind w:right="54"/>
    </w:pPr>
    <w:rPr>
      <w:snapToGrid/>
    </w:rPr>
  </w:style>
  <w:style w:type="character" w:styleId="Hyperlink">
    <w:name w:val="Hyperlink"/>
    <w:rPr>
      <w:color w:val="0000FF"/>
      <w:u w:val="single"/>
    </w:rPr>
  </w:style>
  <w:style w:type="paragraph" w:styleId="Title">
    <w:name w:val="Title"/>
    <w:basedOn w:val="Normal"/>
    <w:qFormat/>
    <w:pPr>
      <w:widowControl/>
      <w:jc w:val="center"/>
    </w:pPr>
    <w:rPr>
      <w:snapToGrid/>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table" w:styleId="TableGrid">
    <w:name w:val="Table Grid"/>
    <w:basedOn w:val="TableNormal"/>
    <w:rsid w:val="00ED2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EB7787"/>
    <w:pPr>
      <w:widowControl/>
      <w:tabs>
        <w:tab w:val="left" w:pos="1440"/>
        <w:tab w:val="left" w:pos="1920"/>
        <w:tab w:val="left" w:pos="2520"/>
        <w:tab w:val="left" w:pos="3120"/>
      </w:tabs>
      <w:ind w:left="960" w:right="480"/>
    </w:pPr>
    <w:rPr>
      <w:rFonts w:ascii="Courier New" w:hAnsi="Courier New"/>
      <w:snapToGrid/>
      <w:sz w:val="20"/>
    </w:rPr>
  </w:style>
  <w:style w:type="character" w:styleId="FollowedHyperlink">
    <w:name w:val="FollowedHyperlink"/>
    <w:rsid w:val="00507166"/>
    <w:rPr>
      <w:color w:val="606420"/>
      <w:u w:val="single"/>
    </w:rPr>
  </w:style>
  <w:style w:type="paragraph" w:styleId="ListBullet">
    <w:name w:val="List Bullet"/>
    <w:basedOn w:val="Normal"/>
    <w:rsid w:val="0004112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BBF4E-ACC5-48A5-9E07-14AEE6A4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1300</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Electric Pa</vt:lpstr>
    </vt:vector>
  </TitlesOfParts>
  <Company>GPU</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Pa</dc:title>
  <dc:subject/>
  <dc:creator>mm832</dc:creator>
  <cp:keywords/>
  <cp:lastModifiedBy>Panchari, Lisa A</cp:lastModifiedBy>
  <cp:revision>27</cp:revision>
  <cp:lastPrinted>2017-04-26T20:53:00Z</cp:lastPrinted>
  <dcterms:created xsi:type="dcterms:W3CDTF">2017-04-11T15:37:00Z</dcterms:created>
  <dcterms:modified xsi:type="dcterms:W3CDTF">2017-04-27T19:15:00Z</dcterms:modified>
</cp:coreProperties>
</file>